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9CA4A" w14:textId="77777777" w:rsidR="00927CE7" w:rsidRDefault="00927CE7" w:rsidP="002A568F">
      <w:pPr>
        <w:spacing w:after="0"/>
        <w:rPr>
          <w:rFonts w:ascii="Trebuchet MS" w:hAnsi="Trebuchet MS" w:cs="Times New Roman"/>
          <w:b/>
          <w:sz w:val="36"/>
          <w:szCs w:val="36"/>
          <w:u w:val="single"/>
          <w:lang w:val="pt-PT"/>
        </w:rPr>
      </w:pPr>
    </w:p>
    <w:p w14:paraId="13F6E296" w14:textId="77777777" w:rsidR="00927CE7" w:rsidRPr="00927CE7" w:rsidRDefault="00927CE7" w:rsidP="00927CE7">
      <w:pPr>
        <w:tabs>
          <w:tab w:val="left" w:pos="5415"/>
        </w:tabs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ro-RO"/>
          <w14:ligatures w14:val="standardContextual"/>
        </w:rPr>
      </w:pPr>
      <w:r w:rsidRPr="00927CE7">
        <w:rPr>
          <w:rFonts w:ascii="Times New Roman" w:hAnsi="Times New Roman" w:cs="Times New Roman"/>
          <w:b/>
          <w:bCs/>
          <w:kern w:val="2"/>
          <w:sz w:val="28"/>
          <w:szCs w:val="28"/>
          <w:lang w:val="ro-RO"/>
          <w14:ligatures w14:val="standardContextual"/>
        </w:rPr>
        <w:t>CAIET DE SARCINI</w:t>
      </w:r>
    </w:p>
    <w:p w14:paraId="2302EC57" w14:textId="3409E7DB" w:rsidR="006B469C" w:rsidRPr="00927CE7" w:rsidRDefault="0055469B" w:rsidP="003811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27CE7">
        <w:rPr>
          <w:rFonts w:ascii="Times New Roman" w:hAnsi="Times New Roman" w:cs="Times New Roman"/>
          <w:b/>
          <w:sz w:val="24"/>
          <w:szCs w:val="24"/>
          <w:lang w:val="pt-PT"/>
        </w:rPr>
        <w:t xml:space="preserve">Achiziţie </w:t>
      </w:r>
      <w:r w:rsidR="00FE6E61" w:rsidRPr="00927CE7">
        <w:rPr>
          <w:rFonts w:ascii="Times New Roman" w:hAnsi="Times New Roman" w:cs="Times New Roman"/>
          <w:b/>
          <w:sz w:val="24"/>
          <w:szCs w:val="24"/>
          <w:lang w:val="pt-PT"/>
        </w:rPr>
        <w:t>servicii asigurare de s</w:t>
      </w:r>
      <w:r w:rsidR="00C21EFB" w:rsidRPr="00927CE7">
        <w:rPr>
          <w:rFonts w:ascii="Times New Roman" w:hAnsi="Times New Roman" w:cs="Times New Roman"/>
          <w:b/>
          <w:sz w:val="24"/>
          <w:szCs w:val="24"/>
          <w:lang w:val="pt-PT"/>
        </w:rPr>
        <w:t>ă</w:t>
      </w:r>
      <w:r w:rsidR="00FE6E61" w:rsidRPr="00927CE7">
        <w:rPr>
          <w:rFonts w:ascii="Times New Roman" w:hAnsi="Times New Roman" w:cs="Times New Roman"/>
          <w:b/>
          <w:sz w:val="24"/>
          <w:szCs w:val="24"/>
          <w:lang w:val="pt-PT"/>
        </w:rPr>
        <w:t>n</w:t>
      </w:r>
      <w:r w:rsidR="00C21EFB" w:rsidRPr="00927CE7">
        <w:rPr>
          <w:rFonts w:ascii="Times New Roman" w:hAnsi="Times New Roman" w:cs="Times New Roman"/>
          <w:b/>
          <w:sz w:val="24"/>
          <w:szCs w:val="24"/>
          <w:lang w:val="pt-PT"/>
        </w:rPr>
        <w:t>ă</w:t>
      </w:r>
      <w:r w:rsidR="00FE6E61" w:rsidRPr="00927CE7">
        <w:rPr>
          <w:rFonts w:ascii="Times New Roman" w:hAnsi="Times New Roman" w:cs="Times New Roman"/>
          <w:b/>
          <w:sz w:val="24"/>
          <w:szCs w:val="24"/>
          <w:lang w:val="pt-PT"/>
        </w:rPr>
        <w:t>tate</w:t>
      </w:r>
    </w:p>
    <w:p w14:paraId="1CAC4C5A" w14:textId="0F03A33B" w:rsidR="00C53E36" w:rsidRDefault="002561D2" w:rsidP="003811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CE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proofErr w:type="spellStart"/>
      <w:r w:rsidRPr="00927CE7">
        <w:rPr>
          <w:rFonts w:ascii="Times New Roman" w:hAnsi="Times New Roman" w:cs="Times New Roman"/>
          <w:b/>
          <w:bCs/>
          <w:sz w:val="24"/>
          <w:szCs w:val="24"/>
        </w:rPr>
        <w:t>estimat</w:t>
      </w:r>
      <w:proofErr w:type="spellEnd"/>
      <w:r w:rsidRPr="00927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0393"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="00D5147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2097E" w:rsidRPr="00927C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039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249D3" w:rsidRPr="00927CE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D2097E" w:rsidRPr="00927CE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4249D3" w:rsidRPr="00927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CE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27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552" w:rsidRPr="00927CE7">
        <w:rPr>
          <w:rFonts w:ascii="Times New Roman" w:hAnsi="Times New Roman" w:cs="Times New Roman"/>
          <w:b/>
          <w:bCs/>
          <w:sz w:val="24"/>
          <w:szCs w:val="24"/>
        </w:rPr>
        <w:t>lei</w:t>
      </w:r>
    </w:p>
    <w:p w14:paraId="01A8FA77" w14:textId="77777777" w:rsidR="00927CE7" w:rsidRDefault="00927CE7" w:rsidP="003811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DA5B8" w14:textId="77777777" w:rsidR="00927CE7" w:rsidRDefault="00927CE7" w:rsidP="002A56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88EC2" w14:textId="77777777" w:rsidR="00927CE7" w:rsidRDefault="00927CE7" w:rsidP="003811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E91C8" w14:textId="4F690CF4" w:rsidR="00756587" w:rsidRPr="009418FE" w:rsidRDefault="00756587" w:rsidP="009418FE">
      <w:pPr>
        <w:pStyle w:val="ListParagraph"/>
        <w:numPr>
          <w:ilvl w:val="0"/>
          <w:numId w:val="27"/>
        </w:numPr>
        <w:jc w:val="both"/>
        <w:rPr>
          <w:b/>
          <w:bCs/>
          <w:lang w:val="pt-PT"/>
        </w:rPr>
      </w:pPr>
      <w:r w:rsidRPr="00756587">
        <w:rPr>
          <w:b/>
          <w:bCs/>
          <w:lang w:val="pt-PT"/>
        </w:rPr>
        <w:t>Introducere</w:t>
      </w:r>
    </w:p>
    <w:p w14:paraId="52DCA058" w14:textId="33CC281A" w:rsidR="00927CE7" w:rsidRPr="002B3C26" w:rsidRDefault="00927CE7" w:rsidP="009418F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</w:pPr>
      <w:r w:rsidRPr="002B3C26">
        <w:rPr>
          <w:rFonts w:ascii="Times New Roman" w:hAnsi="Times New Roman" w:cs="Times New Roman"/>
          <w:sz w:val="24"/>
          <w:szCs w:val="24"/>
          <w:lang w:val="pt-PT"/>
        </w:rPr>
        <w:t>Caietul de sarcini face parte integrantă din documentația de atribuire şi constituie ansamblul cerințelor pe baza cărora se elaborează de către fiecare ofertant propunerea tehnică.</w:t>
      </w:r>
    </w:p>
    <w:p w14:paraId="75003E69" w14:textId="4AED4DCC" w:rsidR="00927CE7" w:rsidRPr="002B3C26" w:rsidRDefault="00927CE7" w:rsidP="00927CE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</w:pPr>
      <w:r w:rsidRPr="002B3C26">
        <w:rPr>
          <w:rFonts w:ascii="Times New Roman" w:hAnsi="Times New Roman" w:cs="Times New Roman"/>
          <w:sz w:val="24"/>
          <w:szCs w:val="24"/>
          <w:lang w:val="pt-PT"/>
        </w:rPr>
        <w:t>Caietul de sarcini conține, în mod obligatoriu, specificații tehnice. Acestea definesc, după caz și fără a se limita la cele ce urmează, caracteristici referitoare la nivelul calitativ.</w:t>
      </w:r>
      <w:r w:rsidR="00AC6CA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8987127" w14:textId="14E6690A" w:rsidR="00756587" w:rsidRDefault="00927CE7" w:rsidP="0075658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3C26">
        <w:rPr>
          <w:rFonts w:ascii="Times New Roman" w:hAnsi="Times New Roman" w:cs="Times New Roman"/>
          <w:sz w:val="24"/>
          <w:szCs w:val="24"/>
          <w:lang w:val="pt-PT"/>
        </w:rPr>
        <w:t xml:space="preserve">În cadrul acestei </w:t>
      </w:r>
      <w:r w:rsidR="00467742">
        <w:rPr>
          <w:rFonts w:ascii="Times New Roman" w:hAnsi="Times New Roman" w:cs="Times New Roman"/>
          <w:sz w:val="24"/>
          <w:szCs w:val="24"/>
          <w:lang w:val="pt-PT"/>
        </w:rPr>
        <w:t>achiziții</w:t>
      </w:r>
      <w:r w:rsidRPr="002B3C26">
        <w:rPr>
          <w:rFonts w:ascii="Times New Roman" w:hAnsi="Times New Roman" w:cs="Times New Roman"/>
          <w:sz w:val="24"/>
          <w:szCs w:val="24"/>
          <w:lang w:val="pt-PT"/>
        </w:rPr>
        <w:t xml:space="preserve">, Agenţia pentru Dezvolare Regională Sud Muntenia îndeplinește rolul de </w:t>
      </w:r>
      <w:r w:rsidR="00467742">
        <w:rPr>
          <w:rFonts w:ascii="Times New Roman" w:hAnsi="Times New Roman" w:cs="Times New Roman"/>
          <w:iCs/>
          <w:sz w:val="24"/>
          <w:szCs w:val="24"/>
          <w:lang w:val="pt-PT"/>
        </w:rPr>
        <w:t>achizitor</w:t>
      </w:r>
      <w:r w:rsidR="00756587">
        <w:rPr>
          <w:rFonts w:ascii="Times New Roman" w:hAnsi="Times New Roman" w:cs="Times New Roman"/>
          <w:iCs/>
          <w:sz w:val="24"/>
          <w:szCs w:val="24"/>
          <w:lang w:val="pt-PT"/>
        </w:rPr>
        <w:t>/contractant</w:t>
      </w:r>
      <w:r w:rsidRPr="002B3C26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2B3C26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 xml:space="preserve"> </w:t>
      </w:r>
      <w:r w:rsidRPr="002B3C26">
        <w:rPr>
          <w:rFonts w:ascii="Times New Roman" w:hAnsi="Times New Roman" w:cs="Times New Roman"/>
          <w:sz w:val="24"/>
          <w:szCs w:val="24"/>
          <w:lang w:val="pt-PT"/>
        </w:rPr>
        <w:t xml:space="preserve">Pentru scopul prezentei secțiuni a documentației de atribuire, orice activitate descrisă într-un anumit capitol din Caietul de Sarcini și nespecificată explicit în alt capitol, trebuie interpretată ca fiind menționată în toate capitolele unde se consideră de către </w:t>
      </w:r>
      <w:r w:rsidR="00467742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2B3C26">
        <w:rPr>
          <w:rFonts w:ascii="Times New Roman" w:hAnsi="Times New Roman" w:cs="Times New Roman"/>
          <w:sz w:val="24"/>
          <w:szCs w:val="24"/>
          <w:lang w:val="pt-PT"/>
        </w:rPr>
        <w:t xml:space="preserve">fertant că aceasta trebuia menționată pentru asigurarea îndeplinirii obiectului </w:t>
      </w:r>
      <w:r w:rsidR="00467742">
        <w:rPr>
          <w:rFonts w:ascii="Times New Roman" w:hAnsi="Times New Roman" w:cs="Times New Roman"/>
          <w:sz w:val="24"/>
          <w:szCs w:val="24"/>
          <w:lang w:val="pt-PT"/>
        </w:rPr>
        <w:t>contractului</w:t>
      </w:r>
      <w:r w:rsidRPr="002B3C26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056F2E8D" w14:textId="2B488BB8" w:rsidR="00F81977" w:rsidRPr="009418FE" w:rsidRDefault="00F81977" w:rsidP="009418FE">
      <w:pPr>
        <w:pStyle w:val="ListParagraph"/>
        <w:numPr>
          <w:ilvl w:val="0"/>
          <w:numId w:val="27"/>
        </w:numPr>
        <w:rPr>
          <w:b/>
          <w:bCs/>
          <w:lang w:val="pt-PT"/>
        </w:rPr>
      </w:pPr>
      <w:r w:rsidRPr="00756587">
        <w:rPr>
          <w:b/>
          <w:bCs/>
          <w:lang w:val="pt-PT"/>
        </w:rPr>
        <w:t xml:space="preserve">Contextul realizării acestei achiziţii de </w:t>
      </w:r>
      <w:r w:rsidR="0001083D">
        <w:rPr>
          <w:b/>
          <w:bCs/>
          <w:lang w:val="pt-PT"/>
        </w:rPr>
        <w:t>servicii</w:t>
      </w:r>
    </w:p>
    <w:p w14:paraId="3B1D9E44" w14:textId="39A4F7EE" w:rsidR="00F81977" w:rsidRDefault="00756587" w:rsidP="007A657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3C26">
        <w:rPr>
          <w:rFonts w:ascii="Times New Roman" w:hAnsi="Times New Roman" w:cs="Times New Roman"/>
          <w:sz w:val="24"/>
          <w:szCs w:val="24"/>
          <w:lang w:val="pt-PT"/>
        </w:rPr>
        <w:t>Agenţia pentru Dezvolare Regională Sud Muntenia</w:t>
      </w:r>
      <w:r w:rsidR="00F81977" w:rsidRPr="00F81977">
        <w:rPr>
          <w:rFonts w:ascii="Times New Roman" w:hAnsi="Times New Roman" w:cs="Times New Roman"/>
          <w:sz w:val="24"/>
          <w:szCs w:val="24"/>
          <w:lang w:val="ro-RO"/>
        </w:rPr>
        <w:t xml:space="preserve"> va utiliza </w:t>
      </w:r>
      <w:r w:rsidR="00F81977">
        <w:rPr>
          <w:rFonts w:ascii="Times New Roman" w:hAnsi="Times New Roman" w:cs="Times New Roman"/>
          <w:sz w:val="24"/>
          <w:szCs w:val="24"/>
          <w:lang w:val="ro-RO"/>
        </w:rPr>
        <w:t>serviciile</w:t>
      </w:r>
      <w:r w:rsidR="00F81977" w:rsidRPr="00F81977">
        <w:rPr>
          <w:rFonts w:ascii="Times New Roman" w:hAnsi="Times New Roman" w:cs="Times New Roman"/>
          <w:sz w:val="24"/>
          <w:szCs w:val="24"/>
          <w:lang w:val="ro-RO"/>
        </w:rPr>
        <w:t xml:space="preserve"> solicitate prin prezentul caiet de sarcini pentru </w:t>
      </w:r>
      <w:r w:rsidR="007A6572">
        <w:rPr>
          <w:rFonts w:ascii="Times New Roman" w:hAnsi="Times New Roman" w:cs="Times New Roman"/>
          <w:sz w:val="24"/>
          <w:szCs w:val="24"/>
          <w:lang w:val="ro-RO"/>
        </w:rPr>
        <w:t xml:space="preserve">a sprijini </w:t>
      </w:r>
      <w:r w:rsidR="007A6572" w:rsidRPr="007A6572">
        <w:rPr>
          <w:rFonts w:ascii="Times New Roman" w:hAnsi="Times New Roman" w:cs="Times New Roman"/>
          <w:sz w:val="24"/>
          <w:szCs w:val="24"/>
          <w:lang w:val="ro-RO"/>
        </w:rPr>
        <w:t>refacerea st</w:t>
      </w:r>
      <w:r w:rsidR="007A657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A6572" w:rsidRPr="007A6572">
        <w:rPr>
          <w:rFonts w:ascii="Times New Roman" w:hAnsi="Times New Roman" w:cs="Times New Roman"/>
          <w:sz w:val="24"/>
          <w:szCs w:val="24"/>
          <w:lang w:val="ro-RO"/>
        </w:rPr>
        <w:t>rii de s</w:t>
      </w:r>
      <w:r w:rsidR="007A657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A6572" w:rsidRPr="007A6572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7A657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A6572" w:rsidRPr="007A6572">
        <w:rPr>
          <w:rFonts w:ascii="Times New Roman" w:hAnsi="Times New Roman" w:cs="Times New Roman"/>
          <w:sz w:val="24"/>
          <w:szCs w:val="24"/>
          <w:lang w:val="ro-RO"/>
        </w:rPr>
        <w:t>tate a angajaților</w:t>
      </w:r>
      <w:r w:rsidR="007A65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săi</w:t>
      </w:r>
      <w:r w:rsidR="007A6572" w:rsidRPr="007A657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A6572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7A6572" w:rsidRPr="007A6572">
        <w:rPr>
          <w:rFonts w:ascii="Times New Roman" w:hAnsi="Times New Roman" w:cs="Times New Roman"/>
          <w:sz w:val="24"/>
          <w:szCs w:val="24"/>
          <w:lang w:val="ro-RO"/>
        </w:rPr>
        <w:t>n conformitate cu prevederile Contractului Colectiv de munc</w:t>
      </w:r>
      <w:r w:rsidR="007A657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F81977" w:rsidRPr="00F81977">
        <w:rPr>
          <w:rFonts w:ascii="Times New Roman" w:hAnsi="Times New Roman" w:cs="Times New Roman"/>
          <w:sz w:val="24"/>
          <w:szCs w:val="24"/>
          <w:lang w:val="ro-RO"/>
        </w:rPr>
        <w:t>, pe o perioadă de 12 luni.</w:t>
      </w:r>
      <w:r w:rsidR="007A65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81977" w:rsidRPr="00F81977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genția</w:t>
      </w:r>
      <w:r w:rsidR="00F81977" w:rsidRPr="00F81977">
        <w:rPr>
          <w:rFonts w:ascii="Times New Roman" w:hAnsi="Times New Roman" w:cs="Times New Roman"/>
          <w:sz w:val="24"/>
          <w:szCs w:val="24"/>
          <w:lang w:val="ro-RO"/>
        </w:rPr>
        <w:t xml:space="preserve"> are </w:t>
      </w:r>
      <w:r w:rsidR="00467742">
        <w:rPr>
          <w:rFonts w:ascii="Times New Roman" w:hAnsi="Times New Roman" w:cs="Times New Roman"/>
          <w:sz w:val="24"/>
          <w:szCs w:val="24"/>
          <w:lang w:val="ro-RO"/>
        </w:rPr>
        <w:t xml:space="preserve">încheiat </w:t>
      </w:r>
      <w:r w:rsidR="00F81977" w:rsidRPr="00F81977">
        <w:rPr>
          <w:rFonts w:ascii="Times New Roman" w:hAnsi="Times New Roman" w:cs="Times New Roman"/>
          <w:sz w:val="24"/>
          <w:szCs w:val="24"/>
          <w:lang w:val="ro-RO"/>
        </w:rPr>
        <w:t xml:space="preserve">în prezent </w:t>
      </w:r>
      <w:r w:rsidR="007A6572">
        <w:rPr>
          <w:rFonts w:ascii="Times New Roman" w:hAnsi="Times New Roman" w:cs="Times New Roman"/>
          <w:sz w:val="24"/>
          <w:szCs w:val="24"/>
          <w:lang w:val="ro-RO"/>
        </w:rPr>
        <w:t>un contract de prest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A6572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467742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7A65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7742" w:rsidRPr="0001083D">
        <w:rPr>
          <w:rFonts w:ascii="Times New Roman" w:hAnsi="Times New Roman" w:cs="Times New Roman"/>
          <w:bCs/>
          <w:sz w:val="24"/>
          <w:szCs w:val="24"/>
          <w:lang w:val="ro-RO"/>
        </w:rPr>
        <w:t>servicii asigurare de sănătate</w:t>
      </w:r>
      <w:r w:rsidR="007A6572">
        <w:rPr>
          <w:rFonts w:ascii="Times New Roman" w:hAnsi="Times New Roman" w:cs="Times New Roman"/>
          <w:sz w:val="24"/>
          <w:szCs w:val="24"/>
          <w:lang w:val="ro-RO"/>
        </w:rPr>
        <w:t>, care a expira</w:t>
      </w:r>
      <w:r w:rsidR="00D72F8C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7A6572">
        <w:rPr>
          <w:rFonts w:ascii="Times New Roman" w:hAnsi="Times New Roman" w:cs="Times New Roman"/>
          <w:sz w:val="24"/>
          <w:szCs w:val="24"/>
          <w:lang w:val="ro-RO"/>
        </w:rPr>
        <w:t xml:space="preserve"> la sfâ</w:t>
      </w:r>
      <w:r w:rsidR="00EA6EBF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7A6572">
        <w:rPr>
          <w:rFonts w:ascii="Times New Roman" w:hAnsi="Times New Roman" w:cs="Times New Roman"/>
          <w:sz w:val="24"/>
          <w:szCs w:val="24"/>
          <w:lang w:val="ro-RO"/>
        </w:rPr>
        <w:t xml:space="preserve">șitul lunii noiembrie 2024. </w:t>
      </w:r>
      <w:r w:rsidR="00F81977" w:rsidRPr="00F81977">
        <w:rPr>
          <w:rFonts w:ascii="Times New Roman" w:hAnsi="Times New Roman" w:cs="Times New Roman"/>
          <w:sz w:val="24"/>
          <w:szCs w:val="24"/>
          <w:lang w:val="ro-RO"/>
        </w:rPr>
        <w:t xml:space="preserve">În acest context se impune organizarea unei </w:t>
      </w:r>
      <w:r w:rsidR="00467742">
        <w:rPr>
          <w:rFonts w:ascii="Times New Roman" w:hAnsi="Times New Roman" w:cs="Times New Roman"/>
          <w:sz w:val="24"/>
          <w:szCs w:val="24"/>
          <w:lang w:val="ro-RO"/>
        </w:rPr>
        <w:t>noi</w:t>
      </w:r>
      <w:r w:rsidR="00F81977" w:rsidRPr="00F81977">
        <w:rPr>
          <w:rFonts w:ascii="Times New Roman" w:hAnsi="Times New Roman" w:cs="Times New Roman"/>
          <w:sz w:val="24"/>
          <w:szCs w:val="24"/>
          <w:lang w:val="ro-RO"/>
        </w:rPr>
        <w:t xml:space="preserve"> achizi</w:t>
      </w:r>
      <w:r w:rsidR="007A6572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F81977" w:rsidRPr="00F81977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467742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F81977" w:rsidRPr="00F81977">
        <w:rPr>
          <w:rFonts w:ascii="Times New Roman" w:hAnsi="Times New Roman" w:cs="Times New Roman"/>
          <w:sz w:val="24"/>
          <w:szCs w:val="24"/>
          <w:lang w:val="ro-RO"/>
        </w:rPr>
        <w:t xml:space="preserve"> care să asigure </w:t>
      </w:r>
      <w:r w:rsidR="00467742">
        <w:rPr>
          <w:rFonts w:ascii="Times New Roman" w:hAnsi="Times New Roman" w:cs="Times New Roman"/>
          <w:sz w:val="24"/>
          <w:szCs w:val="24"/>
          <w:lang w:val="ro-RO"/>
        </w:rPr>
        <w:t>serviciile medicale</w:t>
      </w:r>
      <w:r w:rsidR="00F81977" w:rsidRPr="00F81977">
        <w:rPr>
          <w:rFonts w:ascii="Times New Roman" w:hAnsi="Times New Roman" w:cs="Times New Roman"/>
          <w:sz w:val="24"/>
          <w:szCs w:val="24"/>
          <w:lang w:val="ro-RO"/>
        </w:rPr>
        <w:t xml:space="preserve"> pentru o perioadă de </w:t>
      </w:r>
      <w:r w:rsidR="00467742">
        <w:rPr>
          <w:rFonts w:ascii="Times New Roman" w:hAnsi="Times New Roman" w:cs="Times New Roman"/>
          <w:sz w:val="24"/>
          <w:szCs w:val="24"/>
          <w:lang w:val="ro-RO"/>
        </w:rPr>
        <w:t>12</w:t>
      </w:r>
      <w:r w:rsidR="00F81977" w:rsidRPr="00F81977">
        <w:rPr>
          <w:rFonts w:ascii="Times New Roman" w:hAnsi="Times New Roman" w:cs="Times New Roman"/>
          <w:sz w:val="24"/>
          <w:szCs w:val="24"/>
          <w:lang w:val="ro-RO"/>
        </w:rPr>
        <w:t xml:space="preserve"> luni.</w:t>
      </w:r>
    </w:p>
    <w:p w14:paraId="404E8435" w14:textId="3540D10F" w:rsidR="00756587" w:rsidRPr="00756587" w:rsidRDefault="0001083D" w:rsidP="00756587">
      <w:pPr>
        <w:pStyle w:val="ListParagraph"/>
        <w:numPr>
          <w:ilvl w:val="1"/>
          <w:numId w:val="27"/>
        </w:numPr>
        <w:rPr>
          <w:b/>
          <w:bCs/>
          <w:lang w:val="pt-PT"/>
        </w:rPr>
      </w:pPr>
      <w:r>
        <w:rPr>
          <w:b/>
          <w:bCs/>
          <w:lang w:val="pt-PT"/>
        </w:rPr>
        <w:t xml:space="preserve"> </w:t>
      </w:r>
      <w:r w:rsidR="00756587" w:rsidRPr="00756587">
        <w:rPr>
          <w:b/>
          <w:bCs/>
          <w:lang w:val="pt-PT"/>
        </w:rPr>
        <w:t xml:space="preserve">Informații despre </w:t>
      </w:r>
      <w:r w:rsidR="00756587">
        <w:rPr>
          <w:b/>
          <w:bCs/>
          <w:lang w:val="pt-PT"/>
        </w:rPr>
        <w:t>achizitor/contractant</w:t>
      </w:r>
    </w:p>
    <w:p w14:paraId="57726E45" w14:textId="086FC827" w:rsidR="0001083D" w:rsidRPr="00EA6EBF" w:rsidRDefault="00D5147E" w:rsidP="009418FE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A6EBF">
        <w:rPr>
          <w:rFonts w:ascii="Times New Roman" w:hAnsi="Times New Roman" w:cs="Times New Roman"/>
          <w:sz w:val="24"/>
          <w:szCs w:val="24"/>
          <w:lang w:val="pt-PT"/>
        </w:rPr>
        <w:t>Conform ștatului de funcții aferent anului 202</w:t>
      </w:r>
      <w:r w:rsidR="00AC280A">
        <w:rPr>
          <w:rFonts w:ascii="Times New Roman" w:hAnsi="Times New Roman" w:cs="Times New Roman"/>
          <w:sz w:val="24"/>
          <w:szCs w:val="24"/>
          <w:lang w:val="pt-PT"/>
        </w:rPr>
        <w:t>5</w:t>
      </w:r>
      <w:r w:rsidRPr="00EA6EB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AC280A">
        <w:rPr>
          <w:rFonts w:ascii="Times New Roman" w:hAnsi="Times New Roman" w:cs="Times New Roman"/>
          <w:sz w:val="24"/>
          <w:szCs w:val="24"/>
          <w:lang w:val="pt-PT"/>
        </w:rPr>
        <w:t xml:space="preserve"> precum </w:t>
      </w:r>
      <w:r w:rsidR="00AC280A">
        <w:rPr>
          <w:rFonts w:ascii="Times New Roman" w:hAnsi="Times New Roman" w:cs="Times New Roman"/>
          <w:sz w:val="24"/>
          <w:szCs w:val="24"/>
          <w:lang w:val="ro-RO"/>
        </w:rPr>
        <w:t>și estimărilor privind angajarea personalului în afara organigramei,</w:t>
      </w:r>
      <w:r w:rsidRPr="00EA6EBF">
        <w:rPr>
          <w:rFonts w:ascii="Times New Roman" w:hAnsi="Times New Roman" w:cs="Times New Roman"/>
          <w:sz w:val="24"/>
          <w:szCs w:val="24"/>
          <w:lang w:val="pt-PT"/>
        </w:rPr>
        <w:t xml:space="preserve"> personalul Agenţiei pentru Dezvoltare Regională</w:t>
      </w:r>
      <w:r w:rsidR="005F30FD">
        <w:rPr>
          <w:rFonts w:ascii="Times New Roman" w:hAnsi="Times New Roman" w:cs="Times New Roman"/>
          <w:sz w:val="24"/>
          <w:szCs w:val="24"/>
          <w:lang w:val="pt-PT"/>
        </w:rPr>
        <w:t xml:space="preserve"> este de aproximativ 175 persoane și poate atinge un număr de 2</w:t>
      </w:r>
      <w:r w:rsidR="00A30C65">
        <w:rPr>
          <w:rFonts w:ascii="Times New Roman" w:hAnsi="Times New Roman" w:cs="Times New Roman"/>
          <w:sz w:val="24"/>
          <w:szCs w:val="24"/>
          <w:lang w:val="pt-PT"/>
        </w:rPr>
        <w:t xml:space="preserve">85 </w:t>
      </w:r>
      <w:r w:rsidR="005F30FD">
        <w:rPr>
          <w:rFonts w:ascii="Times New Roman" w:hAnsi="Times New Roman" w:cs="Times New Roman"/>
          <w:sz w:val="24"/>
          <w:szCs w:val="24"/>
          <w:lang w:val="pt-PT"/>
        </w:rPr>
        <w:t>persoane</w:t>
      </w:r>
      <w:r w:rsidR="00A30C65">
        <w:rPr>
          <w:rFonts w:ascii="Times New Roman" w:hAnsi="Times New Roman" w:cs="Times New Roman"/>
          <w:sz w:val="24"/>
          <w:szCs w:val="24"/>
          <w:lang w:val="pt-PT"/>
        </w:rPr>
        <w:t xml:space="preserve"> (personal pre</w:t>
      </w:r>
      <w:r w:rsidR="00A30C65">
        <w:rPr>
          <w:rFonts w:ascii="Times New Roman" w:hAnsi="Times New Roman" w:cs="Times New Roman"/>
          <w:sz w:val="24"/>
          <w:szCs w:val="24"/>
          <w:lang w:val="ro-RO"/>
        </w:rPr>
        <w:t>văzut în organigramă cât și în afara ei</w:t>
      </w:r>
      <w:r w:rsidR="00A30C65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D72F8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72F8C">
        <w:rPr>
          <w:rFonts w:ascii="Times New Roman" w:hAnsi="Times New Roman" w:cs="Times New Roman"/>
          <w:sz w:val="24"/>
          <w:szCs w:val="24"/>
          <w:lang w:val="ro-RO"/>
        </w:rPr>
        <w:t>în anul 2025</w:t>
      </w:r>
      <w:r w:rsidRPr="00EA6EBF">
        <w:rPr>
          <w:rFonts w:ascii="Times New Roman" w:hAnsi="Times New Roman" w:cs="Times New Roman"/>
          <w:sz w:val="24"/>
          <w:szCs w:val="24"/>
          <w:lang w:val="pt-PT"/>
        </w:rPr>
        <w:t xml:space="preserve">, valoarea maximă alocată/angajat </w:t>
      </w:r>
      <w:r w:rsidR="005F30FD">
        <w:rPr>
          <w:rFonts w:ascii="Times New Roman" w:hAnsi="Times New Roman" w:cs="Times New Roman"/>
          <w:sz w:val="24"/>
          <w:szCs w:val="24"/>
          <w:lang w:val="pt-PT"/>
        </w:rPr>
        <w:t>fiind de</w:t>
      </w:r>
      <w:r w:rsidRPr="00EA6EBF">
        <w:rPr>
          <w:rFonts w:ascii="Times New Roman" w:hAnsi="Times New Roman" w:cs="Times New Roman"/>
          <w:sz w:val="24"/>
          <w:szCs w:val="24"/>
          <w:lang w:val="pt-PT"/>
        </w:rPr>
        <w:t xml:space="preserve"> 1.800 lei.</w:t>
      </w:r>
      <w:r w:rsidR="005F30F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F30FD" w:rsidRPr="005F30FD">
        <w:rPr>
          <w:rFonts w:ascii="Times New Roman" w:hAnsi="Times New Roman" w:cs="Times New Roman"/>
          <w:sz w:val="24"/>
          <w:szCs w:val="24"/>
          <w:lang w:val="pt-PT"/>
        </w:rPr>
        <w:t>Numărul abonamentelor</w:t>
      </w:r>
      <w:r w:rsidR="005F30FD">
        <w:rPr>
          <w:rFonts w:ascii="Times New Roman" w:hAnsi="Times New Roman" w:cs="Times New Roman"/>
          <w:sz w:val="24"/>
          <w:szCs w:val="24"/>
          <w:lang w:val="pt-PT"/>
        </w:rPr>
        <w:t>/polițelor de asigurare</w:t>
      </w:r>
      <w:r w:rsidR="005F30FD" w:rsidRPr="005F30FD">
        <w:rPr>
          <w:rFonts w:ascii="Times New Roman" w:hAnsi="Times New Roman" w:cs="Times New Roman"/>
          <w:sz w:val="24"/>
          <w:szCs w:val="24"/>
          <w:lang w:val="pt-PT"/>
        </w:rPr>
        <w:t xml:space="preserve"> se va modifica în funcție de numărul de angajați din luna respectivă, prin notificarea prestatorului de către </w:t>
      </w:r>
      <w:r w:rsidR="005F30FD">
        <w:rPr>
          <w:rFonts w:ascii="Times New Roman" w:hAnsi="Times New Roman" w:cs="Times New Roman"/>
          <w:sz w:val="24"/>
          <w:szCs w:val="24"/>
          <w:lang w:val="pt-PT"/>
        </w:rPr>
        <w:t>Agenție</w:t>
      </w:r>
      <w:r w:rsidR="005F30FD" w:rsidRPr="005F30F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2CFEA4B" w14:textId="31E83B89" w:rsidR="00756587" w:rsidRPr="0001083D" w:rsidRDefault="0001083D" w:rsidP="0001083D">
      <w:pPr>
        <w:pStyle w:val="ListParagraph"/>
        <w:numPr>
          <w:ilvl w:val="1"/>
          <w:numId w:val="27"/>
        </w:numPr>
        <w:spacing w:before="120" w:after="120" w:line="276" w:lineRule="auto"/>
        <w:jc w:val="both"/>
        <w:rPr>
          <w:b/>
          <w:bCs/>
          <w:lang w:val="pt-PT"/>
        </w:rPr>
      </w:pPr>
      <w:r>
        <w:rPr>
          <w:b/>
          <w:bCs/>
        </w:rPr>
        <w:t xml:space="preserve"> </w:t>
      </w:r>
      <w:r w:rsidR="00756587" w:rsidRPr="0001083D">
        <w:rPr>
          <w:b/>
          <w:bCs/>
        </w:rPr>
        <w:t>Informaţii despre contextul care a determinat achiziţionarea serviciilor</w:t>
      </w:r>
    </w:p>
    <w:p w14:paraId="6CB23B6D" w14:textId="77777777" w:rsidR="00D5147E" w:rsidRDefault="00756587" w:rsidP="0001083D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5147E">
        <w:rPr>
          <w:rFonts w:ascii="Times New Roman" w:hAnsi="Times New Roman" w:cs="Times New Roman"/>
          <w:sz w:val="24"/>
          <w:szCs w:val="24"/>
          <w:lang w:val="ro-RO"/>
        </w:rPr>
        <w:t>În contextul noii perioade de programare 2021-2027, Agenția pentru Dezvoltare Regională Sud Muntenia își propune să</w:t>
      </w:r>
      <w:r w:rsidR="00D514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5147E">
        <w:rPr>
          <w:rFonts w:ascii="Times New Roman" w:hAnsi="Times New Roman" w:cs="Times New Roman"/>
          <w:sz w:val="24"/>
          <w:szCs w:val="24"/>
          <w:lang w:val="ro-RO"/>
        </w:rPr>
        <w:t xml:space="preserve">asigure </w:t>
      </w:r>
      <w:r w:rsidR="00D5147E" w:rsidRPr="00D5147E">
        <w:rPr>
          <w:rFonts w:ascii="Times New Roman" w:hAnsi="Times New Roman" w:cs="Times New Roman"/>
          <w:sz w:val="24"/>
          <w:szCs w:val="24"/>
          <w:lang w:val="ro-RO"/>
        </w:rPr>
        <w:t xml:space="preserve">îmbunătățirea sănătății și bunăstării generale la locul de muncă. </w:t>
      </w:r>
      <w:r w:rsidR="00D5147E" w:rsidRPr="00D5147E">
        <w:rPr>
          <w:rFonts w:ascii="Times New Roman" w:hAnsi="Times New Roman" w:cs="Times New Roman"/>
          <w:sz w:val="24"/>
          <w:szCs w:val="24"/>
          <w:lang w:val="pt-PT"/>
        </w:rPr>
        <w:t>Un pachet de servicii medicale dedicat angajaților contribuie la creșterea satisfacției acestora, prevenirea unor probleme de sănătate și, implicit, creșterea eficienței organizaționale.</w:t>
      </w:r>
      <w:r w:rsidR="00D5147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5147E" w:rsidRPr="00D5147E"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r w:rsidR="00D5147E" w:rsidRPr="00D5147E">
        <w:rPr>
          <w:rFonts w:ascii="Times New Roman" w:hAnsi="Times New Roman" w:cs="Times New Roman"/>
          <w:sz w:val="24"/>
          <w:szCs w:val="24"/>
          <w:lang w:val="pt-PT"/>
        </w:rPr>
        <w:lastRenderedPageBreak/>
        <w:t>asemenea, un astfel de beneficiu poate atrage talente și poate ajuta la retenția personalului, creând un mediu de lucru orientat spre grija pentru angajați</w:t>
      </w:r>
      <w:r w:rsidR="00D5147E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1AC3E26" w14:textId="77777777" w:rsidR="0001083D" w:rsidRDefault="00D5147E" w:rsidP="0001083D">
      <w:pPr>
        <w:pStyle w:val="ListParagraph"/>
        <w:numPr>
          <w:ilvl w:val="1"/>
          <w:numId w:val="27"/>
        </w:numPr>
        <w:spacing w:before="120" w:after="120" w:line="276" w:lineRule="auto"/>
        <w:jc w:val="both"/>
        <w:rPr>
          <w:b/>
          <w:bCs/>
          <w:lang w:val="pt-PT"/>
        </w:rPr>
      </w:pPr>
      <w:r w:rsidRPr="00D5147E">
        <w:rPr>
          <w:b/>
          <w:bCs/>
          <w:lang w:val="pt-PT"/>
        </w:rPr>
        <w:t>Informații despre beneficiile anticipate de către a</w:t>
      </w:r>
      <w:r>
        <w:rPr>
          <w:b/>
          <w:bCs/>
          <w:lang w:val="pt-PT"/>
        </w:rPr>
        <w:t>chizitor/</w:t>
      </w:r>
      <w:r w:rsidRPr="00D5147E">
        <w:rPr>
          <w:b/>
          <w:bCs/>
          <w:lang w:val="pt-PT"/>
        </w:rPr>
        <w:t>contractant</w:t>
      </w:r>
    </w:p>
    <w:p w14:paraId="54A2184E" w14:textId="51FE55BB" w:rsidR="002A568F" w:rsidRDefault="0001083D" w:rsidP="002A568F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1083D">
        <w:rPr>
          <w:rFonts w:ascii="Times New Roman" w:hAnsi="Times New Roman" w:cs="Times New Roman"/>
          <w:sz w:val="24"/>
          <w:szCs w:val="24"/>
          <w:lang w:val="pt-PT"/>
        </w:rPr>
        <w:t xml:space="preserve">Achiziția de servicii medicale pentru angajați oferă o serie de beneficii anticipate care pot aduce îmbunătățiri semnificative la nivelul </w:t>
      </w:r>
      <w:r w:rsidR="00612716">
        <w:rPr>
          <w:rFonts w:ascii="Times New Roman" w:hAnsi="Times New Roman" w:cs="Times New Roman"/>
          <w:sz w:val="24"/>
          <w:szCs w:val="24"/>
          <w:lang w:val="pt-PT"/>
        </w:rPr>
        <w:t>Agenției, cum ar fi</w:t>
      </w:r>
      <w:r w:rsidRPr="0001083D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61271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12716" w:rsidRPr="00612716">
        <w:rPr>
          <w:rFonts w:ascii="Times New Roman" w:hAnsi="Times New Roman" w:cs="Times New Roman"/>
          <w:b/>
          <w:bCs/>
          <w:sz w:val="24"/>
          <w:szCs w:val="24"/>
          <w:lang w:val="pt-PT"/>
        </w:rPr>
        <w:t>c</w:t>
      </w:r>
      <w:r w:rsidRPr="00612716">
        <w:rPr>
          <w:rStyle w:val="Strong"/>
          <w:rFonts w:ascii="Times New Roman" w:hAnsi="Times New Roman" w:cs="Times New Roman"/>
          <w:sz w:val="24"/>
          <w:szCs w:val="24"/>
          <w:lang w:val="pt-PT"/>
        </w:rPr>
        <w:t>reșterea satisfacției și motivației angajaților</w:t>
      </w:r>
      <w:r w:rsidRPr="0061271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12716">
        <w:rPr>
          <w:rFonts w:ascii="Times New Roman" w:hAnsi="Times New Roman" w:cs="Times New Roman"/>
          <w:sz w:val="24"/>
          <w:szCs w:val="24"/>
          <w:lang w:val="pt-PT"/>
        </w:rPr>
        <w:t xml:space="preserve">prin </w:t>
      </w:r>
      <w:r w:rsidRPr="00612716">
        <w:rPr>
          <w:rFonts w:ascii="Times New Roman" w:hAnsi="Times New Roman" w:cs="Times New Roman"/>
          <w:sz w:val="24"/>
          <w:szCs w:val="24"/>
          <w:lang w:val="pt-PT"/>
        </w:rPr>
        <w:t>acces</w:t>
      </w:r>
      <w:r w:rsidR="00612716">
        <w:rPr>
          <w:rFonts w:ascii="Times New Roman" w:hAnsi="Times New Roman" w:cs="Times New Roman"/>
          <w:sz w:val="24"/>
          <w:szCs w:val="24"/>
          <w:lang w:val="pt-PT"/>
        </w:rPr>
        <w:t>ul</w:t>
      </w:r>
      <w:r w:rsidRPr="00612716">
        <w:rPr>
          <w:rFonts w:ascii="Times New Roman" w:hAnsi="Times New Roman" w:cs="Times New Roman"/>
          <w:sz w:val="24"/>
          <w:szCs w:val="24"/>
          <w:lang w:val="pt-PT"/>
        </w:rPr>
        <w:t xml:space="preserve"> la servicii medicale, angajații simt că sunt apreciați și sprijiniți, ceea ce poate conduce la o atitudine pozitivă</w:t>
      </w:r>
      <w:r w:rsidR="00D72F8C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612716">
        <w:rPr>
          <w:rFonts w:ascii="Times New Roman" w:hAnsi="Times New Roman" w:cs="Times New Roman"/>
          <w:sz w:val="24"/>
          <w:szCs w:val="24"/>
          <w:lang w:val="pt-PT"/>
        </w:rPr>
        <w:t>implicare mai mare în activitatea zilnică</w:t>
      </w:r>
      <w:r w:rsidR="00D72F8C">
        <w:rPr>
          <w:rFonts w:ascii="Times New Roman" w:hAnsi="Times New Roman" w:cs="Times New Roman"/>
          <w:sz w:val="24"/>
          <w:szCs w:val="24"/>
          <w:lang w:val="pt-PT"/>
        </w:rPr>
        <w:t xml:space="preserve"> și un </w:t>
      </w:r>
      <w:r w:rsidRPr="00612716">
        <w:rPr>
          <w:rFonts w:ascii="Times New Roman" w:hAnsi="Times New Roman" w:cs="Times New Roman"/>
          <w:sz w:val="24"/>
          <w:szCs w:val="24"/>
          <w:lang w:val="pt-PT"/>
        </w:rPr>
        <w:t>climat organizațional mai echilibrat.</w:t>
      </w:r>
      <w:r w:rsidR="002A568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1B81DC10" w14:textId="0B72F809" w:rsidR="0001083D" w:rsidRPr="002A568F" w:rsidRDefault="0001083D" w:rsidP="002A568F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12716">
        <w:rPr>
          <w:rFonts w:ascii="Times New Roman" w:hAnsi="Times New Roman" w:cs="Times New Roman"/>
          <w:sz w:val="24"/>
          <w:szCs w:val="24"/>
          <w:lang w:val="pt-PT"/>
        </w:rPr>
        <w:t xml:space="preserve">Implementarea unor servicii medicale pentru angajați reprezintă, așadar, o investiție strategică care îmbunătățește atât viața profesională a acestora, </w:t>
      </w:r>
      <w:r w:rsidRPr="00CE3A1B">
        <w:rPr>
          <w:rFonts w:ascii="Times New Roman" w:hAnsi="Times New Roman" w:cs="Times New Roman"/>
          <w:sz w:val="24"/>
          <w:szCs w:val="24"/>
          <w:lang w:val="pt-PT"/>
        </w:rPr>
        <w:t xml:space="preserve">cât și eficiența și imaginea </w:t>
      </w:r>
      <w:r w:rsidR="00612716" w:rsidRPr="00CE3A1B">
        <w:rPr>
          <w:rFonts w:ascii="Times New Roman" w:hAnsi="Times New Roman" w:cs="Times New Roman"/>
          <w:sz w:val="24"/>
          <w:szCs w:val="24"/>
          <w:lang w:val="pt-PT"/>
        </w:rPr>
        <w:t>Agen</w:t>
      </w:r>
      <w:r w:rsidRPr="00CE3A1B">
        <w:rPr>
          <w:rFonts w:ascii="Times New Roman" w:hAnsi="Times New Roman" w:cs="Times New Roman"/>
          <w:sz w:val="24"/>
          <w:szCs w:val="24"/>
          <w:lang w:val="pt-PT"/>
        </w:rPr>
        <w:t>ției.</w:t>
      </w:r>
    </w:p>
    <w:p w14:paraId="7ED9AB68" w14:textId="520183EC" w:rsidR="00612716" w:rsidRPr="00CE3A1B" w:rsidRDefault="00612716" w:rsidP="00612716">
      <w:pPr>
        <w:pStyle w:val="ListParagraph"/>
        <w:numPr>
          <w:ilvl w:val="0"/>
          <w:numId w:val="27"/>
        </w:numPr>
        <w:spacing w:before="120" w:after="120" w:line="276" w:lineRule="auto"/>
        <w:jc w:val="both"/>
        <w:rPr>
          <w:b/>
          <w:bCs/>
          <w:lang w:val="pt-PT"/>
        </w:rPr>
      </w:pPr>
      <w:r w:rsidRPr="00CE3A1B">
        <w:rPr>
          <w:b/>
          <w:bCs/>
          <w:lang w:val="pt-PT"/>
        </w:rPr>
        <w:t>Serviciile solicitate</w:t>
      </w:r>
    </w:p>
    <w:p w14:paraId="637AFAC5" w14:textId="7D4C3D32" w:rsidR="00612716" w:rsidRPr="00CE3A1B" w:rsidRDefault="00612716" w:rsidP="00612716">
      <w:pPr>
        <w:pStyle w:val="ListParagraph"/>
        <w:numPr>
          <w:ilvl w:val="1"/>
          <w:numId w:val="27"/>
        </w:numPr>
        <w:spacing w:before="120" w:after="120" w:line="276" w:lineRule="auto"/>
        <w:jc w:val="both"/>
        <w:rPr>
          <w:b/>
          <w:bCs/>
          <w:lang w:val="pt-PT"/>
        </w:rPr>
      </w:pPr>
      <w:r w:rsidRPr="00CE3A1B">
        <w:rPr>
          <w:b/>
          <w:bCs/>
          <w:lang w:val="pt-PT"/>
        </w:rPr>
        <w:t xml:space="preserve"> Descrierea serviciilor solicitate necesare a fi realizate</w:t>
      </w:r>
    </w:p>
    <w:p w14:paraId="149EEEC7" w14:textId="782F11B8" w:rsidR="00CE3A1B" w:rsidRPr="00CE3A1B" w:rsidRDefault="00CE3A1B" w:rsidP="00CE3A1B">
      <w:pPr>
        <w:pStyle w:val="ListParagraph"/>
        <w:numPr>
          <w:ilvl w:val="0"/>
          <w:numId w:val="29"/>
        </w:numPr>
        <w:spacing w:before="120" w:after="120" w:line="276" w:lineRule="auto"/>
        <w:jc w:val="both"/>
        <w:rPr>
          <w:lang w:val="pt-PT"/>
        </w:rPr>
      </w:pPr>
      <w:r>
        <w:rPr>
          <w:lang w:val="pt-PT"/>
        </w:rPr>
        <w:t>o</w:t>
      </w:r>
      <w:r w:rsidRPr="00CE3A1B">
        <w:rPr>
          <w:lang w:val="pt-PT"/>
        </w:rPr>
        <w:t>peratorul economic desemnat câștigător va trebui să aibă o rețea activă de colaboratori și parteneri la nivelul fiecărui județ din Regiunea Sud Muntenia și anume</w:t>
      </w:r>
      <w:r>
        <w:rPr>
          <w:lang w:val="pt-PT"/>
        </w:rPr>
        <w:t xml:space="preserve">: </w:t>
      </w:r>
      <w:r w:rsidRPr="00CE3A1B">
        <w:rPr>
          <w:lang w:val="pt-PT"/>
        </w:rPr>
        <w:t>Călărași, Ialomița, Giurgiu, Teleorman, Argeș, Dâmbovița și Prahova.</w:t>
      </w:r>
    </w:p>
    <w:p w14:paraId="303B14CC" w14:textId="5115234E" w:rsidR="00CE3A1B" w:rsidRPr="00CE3A1B" w:rsidRDefault="00CE3A1B" w:rsidP="00CE3A1B">
      <w:pPr>
        <w:pStyle w:val="ListParagraph"/>
        <w:numPr>
          <w:ilvl w:val="0"/>
          <w:numId w:val="29"/>
        </w:numPr>
        <w:spacing w:before="120" w:after="120" w:line="276" w:lineRule="auto"/>
        <w:jc w:val="both"/>
        <w:rPr>
          <w:lang w:val="pt-PT"/>
        </w:rPr>
      </w:pPr>
      <w:r>
        <w:rPr>
          <w:lang w:val="pt-PT"/>
        </w:rPr>
        <w:t>o</w:t>
      </w:r>
      <w:r w:rsidRPr="00CE3A1B">
        <w:rPr>
          <w:lang w:val="pt-PT"/>
        </w:rPr>
        <w:t xml:space="preserve">peratorul economic desemnat, trebuie să aibă sediul </w:t>
      </w:r>
      <w:r>
        <w:rPr>
          <w:lang w:val="pt-PT"/>
        </w:rPr>
        <w:t xml:space="preserve">clinicilor, </w:t>
      </w:r>
      <w:r w:rsidRPr="00CE3A1B">
        <w:rPr>
          <w:lang w:val="pt-PT"/>
        </w:rPr>
        <w:t xml:space="preserve">hyperclinicilor </w:t>
      </w:r>
      <w:r>
        <w:rPr>
          <w:lang w:val="pt-PT"/>
        </w:rPr>
        <w:t>sau</w:t>
      </w:r>
      <w:r w:rsidRPr="00CE3A1B">
        <w:rPr>
          <w:lang w:val="pt-PT"/>
        </w:rPr>
        <w:t xml:space="preserve"> a spitalelor la maxim 200 km de oricare municipiu reședință de județ din Regiunea Sud Muntenia, pentru a facilita deplasarea tuturor angajaților, indiferent de județul în care locuiesc. Serviciile medicale de asigurare incluse </w:t>
      </w:r>
      <w:r>
        <w:rPr>
          <w:lang w:val="pt-PT"/>
        </w:rPr>
        <w:t>î</w:t>
      </w:r>
      <w:r w:rsidRPr="00CE3A1B">
        <w:rPr>
          <w:lang w:val="pt-PT"/>
        </w:rPr>
        <w:t>n ofert</w:t>
      </w:r>
      <w:r>
        <w:rPr>
          <w:lang w:val="pt-PT"/>
        </w:rPr>
        <w:t>ă</w:t>
      </w:r>
      <w:r w:rsidRPr="00CE3A1B">
        <w:rPr>
          <w:lang w:val="pt-PT"/>
        </w:rPr>
        <w:t xml:space="preserve"> sa fie valabile in orice clinică, </w:t>
      </w:r>
      <w:r>
        <w:rPr>
          <w:lang w:val="pt-PT"/>
        </w:rPr>
        <w:t xml:space="preserve">hyperclinică, </w:t>
      </w:r>
      <w:r w:rsidRPr="00CE3A1B">
        <w:rPr>
          <w:lang w:val="pt-PT"/>
        </w:rPr>
        <w:t>policlinică, spital sau ambulatoriu spital, al operatorului economic desemnat sau clinicilor partenere.</w:t>
      </w:r>
    </w:p>
    <w:p w14:paraId="2992CDFC" w14:textId="70AAA768" w:rsidR="00612716" w:rsidRDefault="00CE3A1B" w:rsidP="00CE3A1B">
      <w:pPr>
        <w:pStyle w:val="ListParagraph"/>
        <w:numPr>
          <w:ilvl w:val="0"/>
          <w:numId w:val="29"/>
        </w:numPr>
        <w:spacing w:before="120" w:after="120" w:line="276" w:lineRule="auto"/>
        <w:jc w:val="both"/>
        <w:rPr>
          <w:lang w:val="pt-PT"/>
        </w:rPr>
      </w:pPr>
      <w:r>
        <w:rPr>
          <w:lang w:val="pt-PT"/>
        </w:rPr>
        <w:t>a</w:t>
      </w:r>
      <w:r w:rsidRPr="00CE3A1B">
        <w:rPr>
          <w:lang w:val="pt-PT"/>
        </w:rPr>
        <w:t>ccesul la serviciile din contract să se facă în limita numărului maxim alocat unui medic pe zi, fără a se restricţiona accesul abonaţilor în favoarea consultaţiilor plătite.</w:t>
      </w:r>
    </w:p>
    <w:p w14:paraId="40C39247" w14:textId="7AAF559F" w:rsidR="00D72CBB" w:rsidRPr="00D72CBB" w:rsidRDefault="00CE3A1B" w:rsidP="00D72CBB">
      <w:pPr>
        <w:pStyle w:val="ListParagraph"/>
        <w:numPr>
          <w:ilvl w:val="0"/>
          <w:numId w:val="29"/>
        </w:numPr>
        <w:spacing w:before="120" w:after="120" w:line="276" w:lineRule="auto"/>
        <w:jc w:val="both"/>
        <w:rPr>
          <w:lang w:val="pt-PT"/>
        </w:rPr>
      </w:pPr>
      <w:r>
        <w:rPr>
          <w:lang w:val="pt-PT"/>
        </w:rPr>
        <w:t>p</w:t>
      </w:r>
      <w:r w:rsidRPr="00CE3A1B">
        <w:rPr>
          <w:lang w:val="pt-PT"/>
        </w:rPr>
        <w:t>entru serviciile incluse este nevoie de recomandarea unui medic autorizat de pe teritoriul ţării.</w:t>
      </w:r>
    </w:p>
    <w:p w14:paraId="754160A0" w14:textId="4CC81A99" w:rsidR="00CE3A1B" w:rsidRPr="00CE3A1B" w:rsidRDefault="00CE3A1B" w:rsidP="00CE3A1B">
      <w:pPr>
        <w:pStyle w:val="ListParagraph"/>
        <w:numPr>
          <w:ilvl w:val="0"/>
          <w:numId w:val="29"/>
        </w:numPr>
        <w:spacing w:before="120" w:after="120" w:line="276" w:lineRule="auto"/>
        <w:jc w:val="both"/>
        <w:rPr>
          <w:lang w:val="pt-PT"/>
        </w:rPr>
      </w:pPr>
      <w:r>
        <w:rPr>
          <w:lang w:val="pt-PT"/>
        </w:rPr>
        <w:t>s</w:t>
      </w:r>
      <w:r w:rsidRPr="00CE3A1B">
        <w:rPr>
          <w:lang w:val="pt-PT"/>
        </w:rPr>
        <w:t xml:space="preserve">erviciile din categoria “inclus” se vor putea efectua nelimitat pe perioada de derulare a contractului. </w:t>
      </w:r>
    </w:p>
    <w:p w14:paraId="5289BF4A" w14:textId="609CC915" w:rsidR="00FB3E70" w:rsidRDefault="00CE3A1B" w:rsidP="009418FE">
      <w:pPr>
        <w:pStyle w:val="ListParagraph"/>
        <w:numPr>
          <w:ilvl w:val="0"/>
          <w:numId w:val="29"/>
        </w:numPr>
        <w:spacing w:before="120" w:after="120" w:line="276" w:lineRule="auto"/>
        <w:jc w:val="both"/>
        <w:rPr>
          <w:lang w:val="pt-PT"/>
        </w:rPr>
      </w:pPr>
      <w:r>
        <w:rPr>
          <w:lang w:val="pt-PT"/>
        </w:rPr>
        <w:t>p</w:t>
      </w:r>
      <w:r w:rsidRPr="00CE3A1B">
        <w:rPr>
          <w:lang w:val="pt-PT"/>
        </w:rPr>
        <w:t>rețul câștigător pe</w:t>
      </w:r>
      <w:r w:rsidR="009418FE">
        <w:rPr>
          <w:lang w:val="pt-PT"/>
        </w:rPr>
        <w:t>r</w:t>
      </w:r>
      <w:r w:rsidRPr="00CE3A1B">
        <w:rPr>
          <w:lang w:val="pt-PT"/>
        </w:rPr>
        <w:t xml:space="preserve"> angajat se va menține și pentru noii angajați din perioada contractului. </w:t>
      </w:r>
    </w:p>
    <w:p w14:paraId="6307D899" w14:textId="77777777" w:rsidR="00FB3E70" w:rsidRPr="00FB3E70" w:rsidRDefault="00FB3E70" w:rsidP="00FB3E70">
      <w:pPr>
        <w:pStyle w:val="ListParagraph"/>
        <w:spacing w:before="120" w:after="120" w:line="276" w:lineRule="auto"/>
        <w:ind w:left="1440"/>
        <w:jc w:val="both"/>
        <w:rPr>
          <w:lang w:val="pt-PT"/>
        </w:rPr>
      </w:pPr>
    </w:p>
    <w:p w14:paraId="13DC6CAE" w14:textId="39800F7B" w:rsidR="00BC63D9" w:rsidRPr="00BC63D9" w:rsidRDefault="006112FF" w:rsidP="00BC63D9">
      <w:pPr>
        <w:pStyle w:val="ListParagraph"/>
        <w:numPr>
          <w:ilvl w:val="1"/>
          <w:numId w:val="27"/>
        </w:numPr>
        <w:spacing w:before="120" w:after="120" w:line="276" w:lineRule="auto"/>
        <w:jc w:val="both"/>
        <w:rPr>
          <w:b/>
          <w:color w:val="000000"/>
        </w:rPr>
      </w:pPr>
      <w:r w:rsidRPr="00BC63D9">
        <w:rPr>
          <w:b/>
          <w:color w:val="000000"/>
        </w:rPr>
        <w:t>Servicii</w:t>
      </w:r>
      <w:r w:rsidR="009418FE" w:rsidRPr="00BC63D9">
        <w:rPr>
          <w:b/>
          <w:color w:val="000000"/>
        </w:rPr>
        <w:t xml:space="preserve"> solicitate</w:t>
      </w:r>
      <w:r w:rsidRPr="00BC63D9">
        <w:rPr>
          <w:b/>
          <w:color w:val="000000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36"/>
        <w:gridCol w:w="1522"/>
        <w:gridCol w:w="1216"/>
        <w:gridCol w:w="1309"/>
        <w:gridCol w:w="1323"/>
        <w:gridCol w:w="2349"/>
        <w:gridCol w:w="1269"/>
      </w:tblGrid>
      <w:tr w:rsidR="00A8279B" w:rsidRPr="003F345D" w14:paraId="751AF30A" w14:textId="50E9FBC0" w:rsidTr="000E6D51">
        <w:trPr>
          <w:trHeight w:val="872"/>
        </w:trPr>
        <w:tc>
          <w:tcPr>
            <w:tcW w:w="622" w:type="dxa"/>
          </w:tcPr>
          <w:p w14:paraId="082536F4" w14:textId="2E57FE32" w:rsidR="00A8279B" w:rsidRPr="003F345D" w:rsidRDefault="00A8279B" w:rsidP="00756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8365607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78" w:type="dxa"/>
          </w:tcPr>
          <w:p w14:paraId="16B9E03F" w14:textId="6100869E" w:rsidR="00A8279B" w:rsidRPr="003F345D" w:rsidRDefault="00A8279B" w:rsidP="00756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7393" w:type="dxa"/>
            <w:gridSpan w:val="5"/>
          </w:tcPr>
          <w:p w14:paraId="3B6BE717" w14:textId="1D000F45" w:rsidR="00A8279B" w:rsidRPr="003F345D" w:rsidRDefault="00A8279B" w:rsidP="00A82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Servicii</w:t>
            </w:r>
            <w:proofErr w:type="spellEnd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medicale</w:t>
            </w:r>
            <w:proofErr w:type="spellEnd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 </w:t>
            </w:r>
            <w:proofErr w:type="spellStart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recomandarea</w:t>
            </w:r>
            <w:proofErr w:type="spellEnd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medicilor</w:t>
            </w:r>
            <w:proofErr w:type="spellEnd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Specificaţii</w:t>
            </w:r>
            <w:proofErr w:type="spellEnd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tehnice</w:t>
            </w:r>
            <w:proofErr w:type="spellEnd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3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minime</w:t>
            </w:r>
            <w:proofErr w:type="spellEnd"/>
          </w:p>
        </w:tc>
      </w:tr>
      <w:tr w:rsidR="000E6D51" w:rsidRPr="003F345D" w14:paraId="4A6BAC6B" w14:textId="358D3E3D" w:rsidTr="000E6D51">
        <w:tc>
          <w:tcPr>
            <w:tcW w:w="622" w:type="dxa"/>
            <w:vMerge w:val="restart"/>
            <w:vAlign w:val="center"/>
          </w:tcPr>
          <w:p w14:paraId="25EAAA11" w14:textId="5E117C0C" w:rsidR="00F23762" w:rsidRPr="009963C7" w:rsidRDefault="00F23762" w:rsidP="007D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vMerge w:val="restart"/>
            <w:vAlign w:val="center"/>
          </w:tcPr>
          <w:p w14:paraId="368B0327" w14:textId="7E21FD6B" w:rsidR="00F23762" w:rsidRPr="003F345D" w:rsidRDefault="00F23762" w:rsidP="007D2FA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3F34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Ambulatoriu şi intervenţii în ambulator</w:t>
            </w:r>
          </w:p>
        </w:tc>
        <w:tc>
          <w:tcPr>
            <w:tcW w:w="1182" w:type="dxa"/>
            <w:vMerge w:val="restart"/>
            <w:vAlign w:val="center"/>
          </w:tcPr>
          <w:p w14:paraId="74728615" w14:textId="395D3855" w:rsidR="00F23762" w:rsidRPr="003F345D" w:rsidRDefault="00F23762" w:rsidP="00E1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3F34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fără listă de prestaţii medicale</w:t>
            </w:r>
          </w:p>
        </w:tc>
        <w:tc>
          <w:tcPr>
            <w:tcW w:w="1272" w:type="dxa"/>
            <w:vAlign w:val="center"/>
          </w:tcPr>
          <w:p w14:paraId="0E04B2C2" w14:textId="713932C8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Consultaţii</w:t>
            </w:r>
            <w:proofErr w:type="spellEnd"/>
          </w:p>
        </w:tc>
        <w:tc>
          <w:tcPr>
            <w:tcW w:w="1286" w:type="dxa"/>
            <w:vAlign w:val="center"/>
          </w:tcPr>
          <w:p w14:paraId="654A69CE" w14:textId="31AA78C5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orice</w:t>
            </w:r>
            <w:proofErr w:type="spellEnd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 xml:space="preserve"> tip de consult, </w:t>
            </w:r>
          </w:p>
        </w:tc>
        <w:tc>
          <w:tcPr>
            <w:tcW w:w="2277" w:type="dxa"/>
            <w:vMerge w:val="restart"/>
            <w:vAlign w:val="center"/>
          </w:tcPr>
          <w:p w14:paraId="72C9FFEA" w14:textId="0607EB2E" w:rsidR="00F23762" w:rsidRPr="003F345D" w:rsidRDefault="00F23762" w:rsidP="00067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>fără</w:t>
            </w:r>
            <w:proofErr w:type="spellEnd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>perioadă</w:t>
            </w:r>
            <w:proofErr w:type="spellEnd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>aşteptare</w:t>
            </w:r>
            <w:proofErr w:type="spellEnd"/>
          </w:p>
        </w:tc>
        <w:tc>
          <w:tcPr>
            <w:tcW w:w="1376" w:type="dxa"/>
            <w:vMerge w:val="restart"/>
            <w:vAlign w:val="center"/>
          </w:tcPr>
          <w:p w14:paraId="06997EAF" w14:textId="06BCF243" w:rsidR="00F23762" w:rsidRPr="003F345D" w:rsidRDefault="00F23762" w:rsidP="007D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inclus</w:t>
            </w:r>
            <w:proofErr w:type="spellEnd"/>
          </w:p>
        </w:tc>
      </w:tr>
      <w:tr w:rsidR="000E6D51" w:rsidRPr="003F345D" w14:paraId="51101E40" w14:textId="499DAEDB" w:rsidTr="000E6D51">
        <w:tc>
          <w:tcPr>
            <w:tcW w:w="622" w:type="dxa"/>
            <w:vMerge/>
          </w:tcPr>
          <w:p w14:paraId="1FC25AD1" w14:textId="77777777" w:rsidR="00F23762" w:rsidRPr="009963C7" w:rsidRDefault="00F23762" w:rsidP="007D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7E22C483" w14:textId="77777777" w:rsidR="00F23762" w:rsidRPr="003F345D" w:rsidRDefault="00F23762" w:rsidP="007D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47C961ED" w14:textId="1E219573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16D9C576" w14:textId="688EC285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Investigaţii</w:t>
            </w:r>
            <w:proofErr w:type="spellEnd"/>
          </w:p>
        </w:tc>
        <w:tc>
          <w:tcPr>
            <w:tcW w:w="1286" w:type="dxa"/>
            <w:vAlign w:val="center"/>
          </w:tcPr>
          <w:p w14:paraId="3B78FAB0" w14:textId="63D82A0A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orice</w:t>
            </w:r>
            <w:proofErr w:type="spellEnd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 xml:space="preserve"> tip de </w:t>
            </w: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investigaţie</w:t>
            </w:r>
            <w:proofErr w:type="spellEnd"/>
          </w:p>
        </w:tc>
        <w:tc>
          <w:tcPr>
            <w:tcW w:w="2277" w:type="dxa"/>
            <w:vMerge/>
            <w:vAlign w:val="center"/>
          </w:tcPr>
          <w:p w14:paraId="2B35FBF8" w14:textId="40876971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14:paraId="4149D2A3" w14:textId="3B9882E5" w:rsidR="00F23762" w:rsidRPr="003F345D" w:rsidRDefault="00F23762" w:rsidP="007D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51" w:rsidRPr="003F345D" w14:paraId="7AE2573B" w14:textId="48229134" w:rsidTr="000E6D51">
        <w:tc>
          <w:tcPr>
            <w:tcW w:w="622" w:type="dxa"/>
            <w:vMerge/>
          </w:tcPr>
          <w:p w14:paraId="72657030" w14:textId="77777777" w:rsidR="00F23762" w:rsidRPr="009963C7" w:rsidRDefault="00F23762" w:rsidP="007D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388DD3B4" w14:textId="77777777" w:rsidR="00F23762" w:rsidRPr="003F345D" w:rsidRDefault="00F23762" w:rsidP="007D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112867ED" w14:textId="096F2CCE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33FF7A61" w14:textId="13BE935F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45D">
              <w:rPr>
                <w:rFonts w:ascii="Times New Roman" w:hAnsi="Times New Roman" w:cs="Times New Roman"/>
                <w:sz w:val="24"/>
                <w:szCs w:val="24"/>
              </w:rPr>
              <w:t xml:space="preserve">Analize </w:t>
            </w: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proofErr w:type="spellEnd"/>
          </w:p>
        </w:tc>
        <w:tc>
          <w:tcPr>
            <w:tcW w:w="1286" w:type="dxa"/>
            <w:vAlign w:val="center"/>
          </w:tcPr>
          <w:p w14:paraId="6B06BAD8" w14:textId="5E1FD81D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orice</w:t>
            </w:r>
            <w:proofErr w:type="spellEnd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 xml:space="preserve"> tip de </w:t>
            </w: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</w:p>
        </w:tc>
        <w:tc>
          <w:tcPr>
            <w:tcW w:w="2277" w:type="dxa"/>
            <w:vMerge/>
            <w:vAlign w:val="center"/>
          </w:tcPr>
          <w:p w14:paraId="7C3AE7FA" w14:textId="25E4ED98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14:paraId="7129577F" w14:textId="64E2596A" w:rsidR="00F23762" w:rsidRPr="003F345D" w:rsidRDefault="00F23762" w:rsidP="007D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51" w:rsidRPr="003F345D" w14:paraId="640C7EDD" w14:textId="5A0E9AA5" w:rsidTr="000E6D51">
        <w:tc>
          <w:tcPr>
            <w:tcW w:w="622" w:type="dxa"/>
            <w:vMerge/>
          </w:tcPr>
          <w:p w14:paraId="5839648C" w14:textId="77777777" w:rsidR="00F23762" w:rsidRPr="009963C7" w:rsidRDefault="00F23762" w:rsidP="007D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2CD34147" w14:textId="77777777" w:rsidR="00F23762" w:rsidRPr="003F345D" w:rsidRDefault="00F23762" w:rsidP="007D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48A61DCF" w14:textId="09168E04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3F7C0248" w14:textId="56279C5A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Tratamente</w:t>
            </w:r>
            <w:proofErr w:type="spellEnd"/>
          </w:p>
        </w:tc>
        <w:tc>
          <w:tcPr>
            <w:tcW w:w="1286" w:type="dxa"/>
            <w:vAlign w:val="center"/>
          </w:tcPr>
          <w:p w14:paraId="1370548F" w14:textId="28F7DC3E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orice</w:t>
            </w:r>
            <w:proofErr w:type="spellEnd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 xml:space="preserve"> tip de </w:t>
            </w: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tratament</w:t>
            </w:r>
            <w:proofErr w:type="spellEnd"/>
          </w:p>
        </w:tc>
        <w:tc>
          <w:tcPr>
            <w:tcW w:w="2277" w:type="dxa"/>
            <w:vMerge/>
            <w:vAlign w:val="center"/>
          </w:tcPr>
          <w:p w14:paraId="5768A19A" w14:textId="5A7B9604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14:paraId="7D4FA15A" w14:textId="5A8D299F" w:rsidR="00F23762" w:rsidRPr="003F345D" w:rsidRDefault="00F23762" w:rsidP="007D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51" w:rsidRPr="009D147C" w14:paraId="50464573" w14:textId="77777777" w:rsidTr="000E6D51">
        <w:tc>
          <w:tcPr>
            <w:tcW w:w="622" w:type="dxa"/>
            <w:vMerge/>
          </w:tcPr>
          <w:p w14:paraId="57D1FB04" w14:textId="77777777" w:rsidR="00F23762" w:rsidRPr="009963C7" w:rsidRDefault="00F23762" w:rsidP="007D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2D97BD45" w14:textId="77777777" w:rsidR="00F23762" w:rsidRPr="003F345D" w:rsidRDefault="00F23762" w:rsidP="007D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3144D15D" w14:textId="77777777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14:paraId="1F326E74" w14:textId="77777777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3F34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Decontare în afara reţelei de 100% din preţul serviciului, fără limită de sumă asigurată</w:t>
            </w:r>
          </w:p>
          <w:p w14:paraId="5A80C47E" w14:textId="3399886A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277" w:type="dxa"/>
            <w:vMerge/>
            <w:vAlign w:val="center"/>
          </w:tcPr>
          <w:p w14:paraId="18FF0605" w14:textId="77777777" w:rsidR="00F23762" w:rsidRPr="003F345D" w:rsidRDefault="00F23762" w:rsidP="0006729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376" w:type="dxa"/>
            <w:vMerge/>
            <w:vAlign w:val="center"/>
          </w:tcPr>
          <w:p w14:paraId="0A96A50B" w14:textId="77777777" w:rsidR="00F23762" w:rsidRPr="003F345D" w:rsidRDefault="00F23762" w:rsidP="007D2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E6D51" w:rsidRPr="003F345D" w14:paraId="5B9FBA04" w14:textId="77777777" w:rsidTr="000E6D51">
        <w:tc>
          <w:tcPr>
            <w:tcW w:w="622" w:type="dxa"/>
            <w:vAlign w:val="center"/>
          </w:tcPr>
          <w:p w14:paraId="529D50C1" w14:textId="6C745C00" w:rsidR="00A8279B" w:rsidRPr="009963C7" w:rsidRDefault="009963C7" w:rsidP="00E4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14:paraId="782FE5E9" w14:textId="24629E39" w:rsidR="00A8279B" w:rsidRPr="003F345D" w:rsidRDefault="00A8279B" w:rsidP="00A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Telemedicină</w:t>
            </w:r>
            <w:proofErr w:type="spellEnd"/>
          </w:p>
        </w:tc>
        <w:tc>
          <w:tcPr>
            <w:tcW w:w="1182" w:type="dxa"/>
          </w:tcPr>
          <w:p w14:paraId="6DC93E77" w14:textId="632F210B" w:rsidR="00A8279B" w:rsidRPr="003F345D" w:rsidRDefault="00A8279B" w:rsidP="00A8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consultaţii</w:t>
            </w:r>
            <w:proofErr w:type="spellEnd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 xml:space="preserve"> şi </w:t>
            </w: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controale</w:t>
            </w:r>
            <w:proofErr w:type="spellEnd"/>
          </w:p>
        </w:tc>
        <w:tc>
          <w:tcPr>
            <w:tcW w:w="2558" w:type="dxa"/>
            <w:gridSpan w:val="2"/>
            <w:vAlign w:val="center"/>
          </w:tcPr>
          <w:p w14:paraId="38185CE8" w14:textId="77777777" w:rsidR="00A8279B" w:rsidRPr="003F345D" w:rsidRDefault="00A8279B" w:rsidP="00A82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3F34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Realizarea consultaţiilor la distanţă prin intermediul diferitelor mijloace de comunicare</w:t>
            </w:r>
          </w:p>
          <w:p w14:paraId="2C22AF69" w14:textId="4CEA0FCE" w:rsidR="00F23762" w:rsidRPr="003F345D" w:rsidRDefault="00F23762" w:rsidP="00A82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277" w:type="dxa"/>
            <w:vAlign w:val="center"/>
          </w:tcPr>
          <w:p w14:paraId="49B00F6F" w14:textId="430CE218" w:rsidR="00A8279B" w:rsidRPr="003F345D" w:rsidRDefault="00A8279B" w:rsidP="00E412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>fără</w:t>
            </w:r>
            <w:proofErr w:type="spellEnd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>perioadă</w:t>
            </w:r>
            <w:proofErr w:type="spellEnd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>aşteptare</w:t>
            </w:r>
            <w:proofErr w:type="spellEnd"/>
          </w:p>
        </w:tc>
        <w:tc>
          <w:tcPr>
            <w:tcW w:w="1376" w:type="dxa"/>
            <w:vAlign w:val="center"/>
          </w:tcPr>
          <w:p w14:paraId="024CE953" w14:textId="604A9D44" w:rsidR="00A8279B" w:rsidRPr="003F345D" w:rsidRDefault="00A8279B" w:rsidP="00E4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inclus</w:t>
            </w:r>
            <w:proofErr w:type="spellEnd"/>
          </w:p>
        </w:tc>
      </w:tr>
      <w:tr w:rsidR="000E6D51" w:rsidRPr="003F345D" w14:paraId="01FC4EA0" w14:textId="77777777" w:rsidTr="000E6D51">
        <w:trPr>
          <w:trHeight w:val="1205"/>
        </w:trPr>
        <w:tc>
          <w:tcPr>
            <w:tcW w:w="622" w:type="dxa"/>
            <w:vAlign w:val="center"/>
          </w:tcPr>
          <w:p w14:paraId="6C98C312" w14:textId="0BC6213B" w:rsidR="00A8279B" w:rsidRPr="003F345D" w:rsidRDefault="009963C7" w:rsidP="00E4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vAlign w:val="center"/>
          </w:tcPr>
          <w:p w14:paraId="3B808014" w14:textId="3A4FEF15" w:rsidR="00A8279B" w:rsidRPr="003F345D" w:rsidRDefault="00A8279B" w:rsidP="00A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5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doua</w:t>
            </w:r>
            <w:proofErr w:type="spellEnd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opinie</w:t>
            </w:r>
            <w:proofErr w:type="spellEnd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medicală</w:t>
            </w:r>
            <w:proofErr w:type="spellEnd"/>
          </w:p>
        </w:tc>
        <w:tc>
          <w:tcPr>
            <w:tcW w:w="3740" w:type="dxa"/>
            <w:gridSpan w:val="3"/>
          </w:tcPr>
          <w:p w14:paraId="4BBE4087" w14:textId="5C6E4301" w:rsidR="00A8279B" w:rsidRPr="003F345D" w:rsidRDefault="00A8279B" w:rsidP="00A82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3F34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În baza unui set de documente medicale existente puse la dispoziţie de persoana asigurată, se primeşte a doua opinie din partea unei persoane specializate.</w:t>
            </w:r>
          </w:p>
        </w:tc>
        <w:tc>
          <w:tcPr>
            <w:tcW w:w="2277" w:type="dxa"/>
            <w:vAlign w:val="center"/>
          </w:tcPr>
          <w:p w14:paraId="5CBE5CE6" w14:textId="47E68AF6" w:rsidR="00A8279B" w:rsidRPr="003F345D" w:rsidRDefault="00A8279B" w:rsidP="00E412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>fără</w:t>
            </w:r>
            <w:proofErr w:type="spellEnd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>perioadă</w:t>
            </w:r>
            <w:proofErr w:type="spellEnd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>aşteptare</w:t>
            </w:r>
            <w:proofErr w:type="spellEnd"/>
          </w:p>
        </w:tc>
        <w:tc>
          <w:tcPr>
            <w:tcW w:w="1376" w:type="dxa"/>
            <w:vAlign w:val="center"/>
          </w:tcPr>
          <w:p w14:paraId="0DFEC5F0" w14:textId="726DD35C" w:rsidR="00A8279B" w:rsidRPr="003F345D" w:rsidRDefault="00A8279B" w:rsidP="00E4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inclus</w:t>
            </w:r>
            <w:proofErr w:type="spellEnd"/>
          </w:p>
        </w:tc>
      </w:tr>
      <w:tr w:rsidR="000E6D51" w:rsidRPr="003F345D" w14:paraId="0ADAACD0" w14:textId="77777777" w:rsidTr="000E6D51">
        <w:tc>
          <w:tcPr>
            <w:tcW w:w="622" w:type="dxa"/>
            <w:vAlign w:val="center"/>
          </w:tcPr>
          <w:p w14:paraId="1BCEC151" w14:textId="486EA730" w:rsidR="00A8279B" w:rsidRPr="003F345D" w:rsidRDefault="009963C7" w:rsidP="00A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14:paraId="65DAF9E5" w14:textId="0C5E6223" w:rsidR="00A8279B" w:rsidRPr="003F345D" w:rsidRDefault="00A8279B" w:rsidP="00A8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Spitalizare</w:t>
            </w:r>
            <w:proofErr w:type="spellEnd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 xml:space="preserve"> de zi</w:t>
            </w:r>
          </w:p>
        </w:tc>
        <w:tc>
          <w:tcPr>
            <w:tcW w:w="3740" w:type="dxa"/>
            <w:gridSpan w:val="3"/>
          </w:tcPr>
          <w:p w14:paraId="1CB1AC3F" w14:textId="5724518A" w:rsidR="00A8279B" w:rsidRPr="003F345D" w:rsidRDefault="00A8279B" w:rsidP="00A82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3F34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Suma asigurată minim 1500 lei/an/asigurat</w:t>
            </w:r>
          </w:p>
        </w:tc>
        <w:tc>
          <w:tcPr>
            <w:tcW w:w="2277" w:type="dxa"/>
            <w:vAlign w:val="center"/>
          </w:tcPr>
          <w:p w14:paraId="6729AF7F" w14:textId="4AD39C0B" w:rsidR="00A8279B" w:rsidRPr="003F345D" w:rsidRDefault="00A8279B" w:rsidP="00A82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>fără</w:t>
            </w:r>
            <w:proofErr w:type="spellEnd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>perioadă</w:t>
            </w:r>
            <w:proofErr w:type="spellEnd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>aşteptare</w:t>
            </w:r>
            <w:proofErr w:type="spellEnd"/>
          </w:p>
        </w:tc>
        <w:tc>
          <w:tcPr>
            <w:tcW w:w="1376" w:type="dxa"/>
            <w:vAlign w:val="center"/>
          </w:tcPr>
          <w:p w14:paraId="453E8755" w14:textId="331623AB" w:rsidR="00A8279B" w:rsidRPr="003F345D" w:rsidRDefault="00A8279B" w:rsidP="00A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inclus</w:t>
            </w:r>
            <w:proofErr w:type="spellEnd"/>
          </w:p>
        </w:tc>
      </w:tr>
      <w:tr w:rsidR="000E6D51" w:rsidRPr="003F345D" w14:paraId="58A7CBB2" w14:textId="77777777" w:rsidTr="000E6D51">
        <w:tc>
          <w:tcPr>
            <w:tcW w:w="622" w:type="dxa"/>
            <w:vAlign w:val="center"/>
          </w:tcPr>
          <w:p w14:paraId="12F35F50" w14:textId="137E3B5B" w:rsidR="00A8279B" w:rsidRPr="003F345D" w:rsidRDefault="009963C7" w:rsidP="00A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14:paraId="1D9C2F58" w14:textId="0C5392C2" w:rsidR="00A8279B" w:rsidRPr="003F345D" w:rsidRDefault="00A8279B" w:rsidP="00A8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Monitorizare</w:t>
            </w:r>
            <w:proofErr w:type="spellEnd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sarcină</w:t>
            </w:r>
            <w:proofErr w:type="spellEnd"/>
          </w:p>
        </w:tc>
        <w:tc>
          <w:tcPr>
            <w:tcW w:w="3740" w:type="dxa"/>
            <w:gridSpan w:val="3"/>
          </w:tcPr>
          <w:p w14:paraId="0BD10E0D" w14:textId="1D10AB3B" w:rsidR="00A8279B" w:rsidRPr="003F345D" w:rsidRDefault="00A8279B" w:rsidP="00A82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3F34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Suma asigurată minim 1000 lei/an/asigurat</w:t>
            </w:r>
          </w:p>
        </w:tc>
        <w:tc>
          <w:tcPr>
            <w:tcW w:w="2277" w:type="dxa"/>
            <w:vAlign w:val="center"/>
          </w:tcPr>
          <w:p w14:paraId="6E14BC59" w14:textId="3F641F47" w:rsidR="00A8279B" w:rsidRPr="003F345D" w:rsidRDefault="00A8279B" w:rsidP="00A82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>fără</w:t>
            </w:r>
            <w:proofErr w:type="spellEnd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>perioadă</w:t>
            </w:r>
            <w:proofErr w:type="spellEnd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3F345D">
              <w:rPr>
                <w:rFonts w:ascii="Times New Roman" w:hAnsi="Times New Roman" w:cs="Times New Roman"/>
                <w:bCs/>
                <w:sz w:val="24"/>
                <w:szCs w:val="24"/>
              </w:rPr>
              <w:t>aşteptare</w:t>
            </w:r>
            <w:proofErr w:type="spellEnd"/>
          </w:p>
        </w:tc>
        <w:tc>
          <w:tcPr>
            <w:tcW w:w="1376" w:type="dxa"/>
            <w:vAlign w:val="center"/>
          </w:tcPr>
          <w:p w14:paraId="2C8A81F1" w14:textId="7F10BB4F" w:rsidR="00A8279B" w:rsidRPr="003F345D" w:rsidRDefault="00A8279B" w:rsidP="00A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inclus</w:t>
            </w:r>
            <w:proofErr w:type="spellEnd"/>
          </w:p>
        </w:tc>
      </w:tr>
      <w:tr w:rsidR="000E6D51" w:rsidRPr="003F345D" w14:paraId="6E350FB6" w14:textId="77777777" w:rsidTr="000E6D51">
        <w:tc>
          <w:tcPr>
            <w:tcW w:w="622" w:type="dxa"/>
            <w:vAlign w:val="center"/>
          </w:tcPr>
          <w:p w14:paraId="41030478" w14:textId="643E269E" w:rsidR="00A8279B" w:rsidRPr="003F345D" w:rsidRDefault="009963C7" w:rsidP="00A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14:paraId="2BCF4610" w14:textId="5CE75D47" w:rsidR="00A8279B" w:rsidRPr="003F345D" w:rsidRDefault="00A8279B" w:rsidP="00A8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Idemnizaţie</w:t>
            </w:r>
            <w:proofErr w:type="spellEnd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spitalizare</w:t>
            </w:r>
            <w:proofErr w:type="spellEnd"/>
          </w:p>
        </w:tc>
        <w:tc>
          <w:tcPr>
            <w:tcW w:w="1182" w:type="dxa"/>
          </w:tcPr>
          <w:p w14:paraId="60D379BB" w14:textId="39E418F8" w:rsidR="00A8279B" w:rsidRPr="003F345D" w:rsidRDefault="00A8279B" w:rsidP="00A82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3F34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fără listă de prestaţii medicale</w:t>
            </w:r>
          </w:p>
        </w:tc>
        <w:tc>
          <w:tcPr>
            <w:tcW w:w="2558" w:type="dxa"/>
            <w:gridSpan w:val="2"/>
            <w:vAlign w:val="center"/>
          </w:tcPr>
          <w:p w14:paraId="49BF9ED1" w14:textId="1FEE0A3A" w:rsidR="00A8279B" w:rsidRPr="003F345D" w:rsidRDefault="00A8279B" w:rsidP="00A82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3F345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Suma asigurată minim 5000 lei/an/asigurat</w:t>
            </w:r>
          </w:p>
        </w:tc>
        <w:tc>
          <w:tcPr>
            <w:tcW w:w="2277" w:type="dxa"/>
            <w:vAlign w:val="center"/>
          </w:tcPr>
          <w:p w14:paraId="573C8AF2" w14:textId="0D8753EC" w:rsidR="00A8279B" w:rsidRPr="003F345D" w:rsidRDefault="00A8279B" w:rsidP="00A8279B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3F345D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cu perioadă de aşteptare</w:t>
            </w:r>
            <w:r w:rsidR="006B13F7" w:rsidRPr="003F345D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 maxim 2 luni</w:t>
            </w:r>
          </w:p>
        </w:tc>
        <w:tc>
          <w:tcPr>
            <w:tcW w:w="1376" w:type="dxa"/>
            <w:vAlign w:val="center"/>
          </w:tcPr>
          <w:p w14:paraId="48AB49A5" w14:textId="374F7F7F" w:rsidR="00A8279B" w:rsidRPr="003F345D" w:rsidRDefault="00A8279B" w:rsidP="00A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5D">
              <w:rPr>
                <w:rFonts w:ascii="Times New Roman" w:hAnsi="Times New Roman" w:cs="Times New Roman"/>
                <w:sz w:val="24"/>
                <w:szCs w:val="24"/>
              </w:rPr>
              <w:t>inclus</w:t>
            </w:r>
            <w:proofErr w:type="spellEnd"/>
          </w:p>
        </w:tc>
      </w:tr>
      <w:tr w:rsidR="000E6D51" w:rsidRPr="003F345D" w14:paraId="2AAD9703" w14:textId="77777777" w:rsidTr="000E6D51">
        <w:tc>
          <w:tcPr>
            <w:tcW w:w="622" w:type="dxa"/>
            <w:vAlign w:val="center"/>
          </w:tcPr>
          <w:p w14:paraId="677B52E2" w14:textId="36457EFA" w:rsidR="005144E4" w:rsidRPr="003F345D" w:rsidRDefault="00491451" w:rsidP="00A8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14:paraId="01279979" w14:textId="33FC7DC3" w:rsidR="005144E4" w:rsidRPr="003F345D" w:rsidRDefault="006C3FB0" w:rsidP="00A8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preventiv</w:t>
            </w:r>
            <w:proofErr w:type="spellEnd"/>
          </w:p>
        </w:tc>
        <w:tc>
          <w:tcPr>
            <w:tcW w:w="3740" w:type="dxa"/>
            <w:gridSpan w:val="3"/>
          </w:tcPr>
          <w:p w14:paraId="52F561C4" w14:textId="70571B26" w:rsidR="005144E4" w:rsidRPr="00053B1C" w:rsidRDefault="006C3FB0" w:rsidP="00FB3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53B1C">
              <w:rPr>
                <w:rFonts w:ascii="Times New Roman" w:hAnsi="Times New Roman" w:cs="Times New Roman"/>
                <w:sz w:val="24"/>
                <w:szCs w:val="24"/>
              </w:rPr>
              <w:t xml:space="preserve">Set </w:t>
            </w:r>
            <w:r w:rsidR="00053B1C" w:rsidRPr="00053B1C">
              <w:rPr>
                <w:rFonts w:ascii="Times New Roman" w:hAnsi="Times New Roman" w:cs="Times New Roman"/>
                <w:sz w:val="24"/>
                <w:szCs w:val="24"/>
              </w:rPr>
              <w:t xml:space="preserve">minim </w:t>
            </w:r>
            <w:r w:rsidRPr="00053B1C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053B1C">
              <w:rPr>
                <w:rFonts w:ascii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0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53B1C" w:rsidRPr="00053B1C">
              <w:rPr>
                <w:rFonts w:ascii="Times New Roman" w:hAnsi="Times New Roman" w:cs="Times New Roman"/>
                <w:sz w:val="24"/>
                <w:szCs w:val="24"/>
              </w:rPr>
              <w:t>medicale:consult</w:t>
            </w:r>
            <w:proofErr w:type="spellEnd"/>
            <w:proofErr w:type="gramEnd"/>
            <w:r w:rsidR="00053B1C" w:rsidRPr="000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B1C" w:rsidRPr="00053B1C">
              <w:rPr>
                <w:rFonts w:ascii="Times New Roman" w:hAnsi="Times New Roman" w:cs="Times New Roman"/>
                <w:sz w:val="24"/>
                <w:szCs w:val="24"/>
              </w:rPr>
              <w:t>medicin</w:t>
            </w:r>
            <w:proofErr w:type="spellEnd"/>
            <w:r w:rsidR="00053B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2A56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53B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generală,hemoleucogramă completă,glucoză serică,TGO,TGP,uree serică,creatinină serică,VSH,colesterol total seric,trigliceride serice,LDL colesterol,HDL colesterol,sumar urină,acid uric seric,ecografie abdominală,examan Babeș Papanicolau, PSA total seric, EKG de repaus</w:t>
            </w:r>
            <w:r w:rsidR="00C608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77" w:type="dxa"/>
            <w:vAlign w:val="center"/>
          </w:tcPr>
          <w:p w14:paraId="2AB47871" w14:textId="6A2C8198" w:rsidR="005144E4" w:rsidRPr="003F345D" w:rsidRDefault="005144E4" w:rsidP="00A8279B">
            <w:pP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D72F8C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fără perioadă de aşteptare</w:t>
            </w:r>
            <w:r w:rsidR="009963C7" w:rsidRPr="00D72F8C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 si fara obigatia de a </w:t>
            </w:r>
            <w:r w:rsidR="000E6D51" w:rsidRPr="00D72F8C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prezenta recomandare/trimitere de la medic</w:t>
            </w:r>
          </w:p>
        </w:tc>
        <w:tc>
          <w:tcPr>
            <w:tcW w:w="1376" w:type="dxa"/>
            <w:vAlign w:val="center"/>
          </w:tcPr>
          <w:p w14:paraId="687D5187" w14:textId="21A3A6A0" w:rsidR="005144E4" w:rsidRPr="003F345D" w:rsidRDefault="006C3FB0" w:rsidP="006C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an/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asigurat</w:t>
            </w:r>
            <w:proofErr w:type="spellEnd"/>
          </w:p>
        </w:tc>
      </w:tr>
      <w:bookmarkEnd w:id="0"/>
    </w:tbl>
    <w:p w14:paraId="791832A6" w14:textId="77777777" w:rsidR="00D72CBB" w:rsidRDefault="00D72CBB" w:rsidP="00C53E3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438E4BF" w14:textId="3E987047" w:rsidR="00460BF7" w:rsidRPr="003F345D" w:rsidRDefault="00460BF7" w:rsidP="00C53E3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3F345D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Pachetul de servicii ce va fi oferit va include </w:t>
      </w:r>
      <w:r w:rsidR="005C590C" w:rsidRPr="003F345D">
        <w:rPr>
          <w:rFonts w:ascii="Times New Roman" w:hAnsi="Times New Roman" w:cs="Times New Roman"/>
          <w:b/>
          <w:bCs/>
          <w:sz w:val="24"/>
          <w:szCs w:val="24"/>
          <w:lang w:val="pt-PT"/>
        </w:rPr>
        <w:t>î</w:t>
      </w:r>
      <w:r w:rsidRPr="003F345D">
        <w:rPr>
          <w:rFonts w:ascii="Times New Roman" w:hAnsi="Times New Roman" w:cs="Times New Roman"/>
          <w:b/>
          <w:bCs/>
          <w:sz w:val="24"/>
          <w:szCs w:val="24"/>
          <w:lang w:val="pt-PT"/>
        </w:rPr>
        <w:t>n mod obligatoriu urm</w:t>
      </w:r>
      <w:r w:rsidR="005C590C" w:rsidRPr="003F345D">
        <w:rPr>
          <w:rFonts w:ascii="Times New Roman" w:hAnsi="Times New Roman" w:cs="Times New Roman"/>
          <w:b/>
          <w:bCs/>
          <w:sz w:val="24"/>
          <w:szCs w:val="24"/>
          <w:lang w:val="pt-PT"/>
        </w:rPr>
        <w:t>ă</w:t>
      </w:r>
      <w:r w:rsidRPr="003F345D">
        <w:rPr>
          <w:rFonts w:ascii="Times New Roman" w:hAnsi="Times New Roman" w:cs="Times New Roman"/>
          <w:b/>
          <w:bCs/>
          <w:sz w:val="24"/>
          <w:szCs w:val="24"/>
          <w:lang w:val="pt-PT"/>
        </w:rPr>
        <w:t>toarele:</w:t>
      </w:r>
    </w:p>
    <w:p w14:paraId="154B77C1" w14:textId="77777777" w:rsidR="00D16244" w:rsidRDefault="003F345D" w:rsidP="00D16244">
      <w:pPr>
        <w:pStyle w:val="ListParagraph"/>
        <w:numPr>
          <w:ilvl w:val="0"/>
          <w:numId w:val="5"/>
        </w:numPr>
        <w:spacing w:line="276" w:lineRule="auto"/>
        <w:jc w:val="both"/>
      </w:pPr>
      <w:r>
        <w:t>d</w:t>
      </w:r>
      <w:r w:rsidR="00460BF7" w:rsidRPr="003F345D">
        <w:t xml:space="preserve">econtare </w:t>
      </w:r>
      <w:r w:rsidR="005C590C" w:rsidRPr="003F345D">
        <w:t>î</w:t>
      </w:r>
      <w:r w:rsidR="00460BF7" w:rsidRPr="003F345D">
        <w:t>n afara re</w:t>
      </w:r>
      <w:r w:rsidR="005C590C" w:rsidRPr="003F345D">
        <w:t>ţ</w:t>
      </w:r>
      <w:r w:rsidR="00460BF7" w:rsidRPr="003F345D">
        <w:t xml:space="preserve">elei </w:t>
      </w:r>
      <w:r w:rsidR="00A35592" w:rsidRPr="003F345D">
        <w:t>de 100</w:t>
      </w:r>
      <w:r w:rsidR="00460BF7" w:rsidRPr="003F345D">
        <w:t>% din pre</w:t>
      </w:r>
      <w:r w:rsidR="005C590C" w:rsidRPr="003F345D">
        <w:t>ţ</w:t>
      </w:r>
      <w:r w:rsidR="00460BF7" w:rsidRPr="003F345D">
        <w:t>ul servic</w:t>
      </w:r>
      <w:r w:rsidR="00F23762" w:rsidRPr="003F345D">
        <w:t>iilor detaliate în tabelul de mai sus</w:t>
      </w:r>
      <w:r w:rsidR="00A35592" w:rsidRPr="003F345D">
        <w:t>,</w:t>
      </w:r>
      <w:r w:rsidR="006825A8" w:rsidRPr="003F345D">
        <w:t xml:space="preserve"> </w:t>
      </w:r>
      <w:r w:rsidR="00460BF7" w:rsidRPr="003F345D">
        <w:t xml:space="preserve">cu recomandare de la orice medic autorizat de pe teritoriul </w:t>
      </w:r>
      <w:r w:rsidR="005C590C" w:rsidRPr="003F345D">
        <w:t>ţă</w:t>
      </w:r>
      <w:r w:rsidR="00460BF7" w:rsidRPr="003F345D">
        <w:t>rii.</w:t>
      </w:r>
      <w:r w:rsidR="0056236E" w:rsidRPr="003F345D">
        <w:t xml:space="preserve"> Practic, </w:t>
      </w:r>
      <w:r w:rsidR="0019222D" w:rsidRPr="003F345D">
        <w:t>abona</w:t>
      </w:r>
      <w:r w:rsidR="005C590C" w:rsidRPr="003F345D">
        <w:t>ţ</w:t>
      </w:r>
      <w:r w:rsidR="0019222D" w:rsidRPr="003F345D">
        <w:t>ii operatorului economic desemnat ca</w:t>
      </w:r>
      <w:r w:rsidR="005C590C" w:rsidRPr="003F345D">
        <w:t>ş</w:t>
      </w:r>
      <w:r w:rsidR="0019222D" w:rsidRPr="003F345D">
        <w:t>tig</w:t>
      </w:r>
      <w:r w:rsidR="005C590C" w:rsidRPr="003F345D">
        <w:t>ă</w:t>
      </w:r>
      <w:r w:rsidR="0019222D" w:rsidRPr="003F345D">
        <w:t>tor pot apela din orice motiv, la serviciile altor institu</w:t>
      </w:r>
      <w:r w:rsidR="005C590C" w:rsidRPr="003F345D">
        <w:t>ţ</w:t>
      </w:r>
      <w:r w:rsidR="0019222D" w:rsidRPr="003F345D">
        <w:t xml:space="preserve">ii medicale private pentru a realiza </w:t>
      </w:r>
      <w:r w:rsidR="00B36A6A" w:rsidRPr="003F345D">
        <w:t>serviciile medicale</w:t>
      </w:r>
      <w:r w:rsidR="0019222D" w:rsidRPr="003F345D">
        <w:t xml:space="preserve"> ce sunt incluse </w:t>
      </w:r>
      <w:r w:rsidR="005C590C" w:rsidRPr="003F345D">
        <w:t>î</w:t>
      </w:r>
      <w:r w:rsidR="0019222D" w:rsidRPr="003F345D">
        <w:t>n cadrul abonamentului de</w:t>
      </w:r>
      <w:r w:rsidR="005C590C" w:rsidRPr="003F345D">
        <w:t>ţ</w:t>
      </w:r>
      <w:r w:rsidR="0019222D" w:rsidRPr="003F345D">
        <w:t>inut, urm</w:t>
      </w:r>
      <w:r w:rsidR="005C590C" w:rsidRPr="003F345D">
        <w:t>â</w:t>
      </w:r>
      <w:r w:rsidR="0019222D" w:rsidRPr="003F345D">
        <w:t>nd ca, ulterior abonatul s</w:t>
      </w:r>
      <w:r w:rsidR="005C590C" w:rsidRPr="003F345D">
        <w:t>ă</w:t>
      </w:r>
      <w:r w:rsidR="0019222D" w:rsidRPr="003F345D">
        <w:t xml:space="preserve"> primeasc</w:t>
      </w:r>
      <w:r w:rsidR="005C590C" w:rsidRPr="003F345D">
        <w:t>ă</w:t>
      </w:r>
      <w:r w:rsidR="0019222D" w:rsidRPr="003F345D">
        <w:t xml:space="preserve"> din partea contractantului decontarea </w:t>
      </w:r>
      <w:r w:rsidR="005C590C" w:rsidRPr="003F345D">
        <w:t>î</w:t>
      </w:r>
      <w:r w:rsidR="0019222D" w:rsidRPr="003F345D">
        <w:t xml:space="preserve">n procent de </w:t>
      </w:r>
      <w:r w:rsidR="00A35592" w:rsidRPr="003F345D">
        <w:t>100</w:t>
      </w:r>
      <w:r w:rsidR="0019222D" w:rsidRPr="003F345D">
        <w:t xml:space="preserve">% pentru respectivele </w:t>
      </w:r>
      <w:r w:rsidR="00F23762" w:rsidRPr="003F345D">
        <w:t>servicii medicale</w:t>
      </w:r>
      <w:r w:rsidR="0019222D" w:rsidRPr="003F345D">
        <w:t>.</w:t>
      </w:r>
      <w:r w:rsidR="00627E0B" w:rsidRPr="003F345D">
        <w:t xml:space="preserve"> </w:t>
      </w:r>
    </w:p>
    <w:p w14:paraId="62C338D0" w14:textId="277E1337" w:rsidR="00D16244" w:rsidRDefault="00D16244" w:rsidP="00D16244">
      <w:pPr>
        <w:pStyle w:val="ListParagraph"/>
        <w:numPr>
          <w:ilvl w:val="0"/>
          <w:numId w:val="5"/>
        </w:numPr>
        <w:spacing w:line="276" w:lineRule="auto"/>
        <w:jc w:val="both"/>
      </w:pPr>
      <w:r>
        <w:lastRenderedPageBreak/>
        <w:t xml:space="preserve">în ceea ce privește accesarea serviciilor din secțiunea </w:t>
      </w:r>
      <w:r w:rsidRPr="00D16244">
        <w:t>“control anual preventiv”, aceasta se face cu acces direct, fără trimitere d</w:t>
      </w:r>
      <w:r>
        <w:t>e la un medic</w:t>
      </w:r>
      <w:r w:rsidR="002A568F">
        <w:t>.</w:t>
      </w:r>
    </w:p>
    <w:p w14:paraId="60B34E6E" w14:textId="4743F644" w:rsidR="00F23762" w:rsidRPr="003F345D" w:rsidRDefault="003F345D" w:rsidP="00D16244">
      <w:pPr>
        <w:pStyle w:val="ListParagraph"/>
        <w:numPr>
          <w:ilvl w:val="0"/>
          <w:numId w:val="5"/>
        </w:numPr>
        <w:spacing w:line="276" w:lineRule="auto"/>
        <w:jc w:val="both"/>
      </w:pPr>
      <w:r>
        <w:t>i</w:t>
      </w:r>
      <w:r w:rsidR="00F23762" w:rsidRPr="003F345D">
        <w:t>ndemnizaţie pentru spitalizare</w:t>
      </w:r>
      <w:r>
        <w:t>:</w:t>
      </w:r>
      <w:r w:rsidR="00F23762" w:rsidRPr="003F345D">
        <w:t xml:space="preserve"> </w:t>
      </w:r>
      <w:r>
        <w:t>u</w:t>
      </w:r>
      <w:r w:rsidR="00F23762" w:rsidRPr="003F345D">
        <w:t>n plafon de minim 5.000 lei/angajat ce poate fi folosit în orice spital privat de pe teritoriul ţării pentru intervenţii cu spitalizare.</w:t>
      </w:r>
    </w:p>
    <w:p w14:paraId="1EAC8AE3" w14:textId="0795DB6D" w:rsidR="004210D6" w:rsidRPr="003F345D" w:rsidRDefault="003F345D" w:rsidP="00F23762">
      <w:pPr>
        <w:pStyle w:val="ListParagraph"/>
        <w:numPr>
          <w:ilvl w:val="0"/>
          <w:numId w:val="5"/>
        </w:numPr>
        <w:spacing w:line="276" w:lineRule="auto"/>
        <w:jc w:val="both"/>
      </w:pPr>
      <w:r>
        <w:t>d</w:t>
      </w:r>
      <w:r w:rsidR="00627E0B" w:rsidRPr="003F345D">
        <w:t xml:space="preserve">econtarea în afara reţelei se va </w:t>
      </w:r>
      <w:r w:rsidR="00851C60" w:rsidRPr="003F345D">
        <w:t>realiza</w:t>
      </w:r>
      <w:r w:rsidR="00627E0B" w:rsidRPr="003F345D">
        <w:t xml:space="preserve"> în maxim 20 de zile lucrătoare, de la depunerea dosarului</w:t>
      </w:r>
      <w:r w:rsidR="00851C60" w:rsidRPr="003F345D">
        <w:t xml:space="preserve"> la </w:t>
      </w:r>
      <w:r w:rsidR="000F65DE">
        <w:t>emitentul poliței</w:t>
      </w:r>
      <w:r w:rsidR="00851C60" w:rsidRPr="003F345D">
        <w:t xml:space="preserve"> de servicii medicale</w:t>
      </w:r>
      <w:r w:rsidR="005728FC" w:rsidRPr="003F345D">
        <w:t>.</w:t>
      </w:r>
    </w:p>
    <w:p w14:paraId="323AB968" w14:textId="3FF9C6CE" w:rsidR="004210D6" w:rsidRPr="003F345D" w:rsidRDefault="003F345D" w:rsidP="004210D6">
      <w:pPr>
        <w:pStyle w:val="ListParagraph"/>
        <w:numPr>
          <w:ilvl w:val="0"/>
          <w:numId w:val="5"/>
        </w:numPr>
        <w:spacing w:line="276" w:lineRule="auto"/>
        <w:jc w:val="both"/>
      </w:pPr>
      <w:r>
        <w:t>o</w:t>
      </w:r>
      <w:r w:rsidR="00D8461C" w:rsidRPr="003F345D">
        <w:t>peratorul economic se obligă, să indice în cadrul ofertei sale, documentele ce alcătuiesc dosarul de decontare.</w:t>
      </w:r>
    </w:p>
    <w:p w14:paraId="7F85F393" w14:textId="507E30BB" w:rsidR="004210D6" w:rsidRPr="003F345D" w:rsidRDefault="003F345D" w:rsidP="004210D6">
      <w:pPr>
        <w:pStyle w:val="ListParagraph"/>
        <w:numPr>
          <w:ilvl w:val="0"/>
          <w:numId w:val="5"/>
        </w:numPr>
        <w:spacing w:line="276" w:lineRule="auto"/>
        <w:jc w:val="both"/>
      </w:pPr>
      <w:r>
        <w:t>s</w:t>
      </w:r>
      <w:r w:rsidR="00460BF7" w:rsidRPr="003F345D">
        <w:t>erviciile</w:t>
      </w:r>
      <w:r w:rsidR="0019222D" w:rsidRPr="003F345D">
        <w:t xml:space="preserve"> contractate</w:t>
      </w:r>
      <w:r w:rsidR="00460BF7" w:rsidRPr="003F345D">
        <w:t xml:space="preserve"> se</w:t>
      </w:r>
      <w:r w:rsidR="0019222D" w:rsidRPr="003F345D">
        <w:t xml:space="preserve"> vor putea</w:t>
      </w:r>
      <w:r w:rsidR="00460BF7" w:rsidRPr="003F345D">
        <w:t xml:space="preserve"> folosi din prima zi</w:t>
      </w:r>
      <w:r w:rsidR="0019222D" w:rsidRPr="003F345D">
        <w:t xml:space="preserve"> de la intrarea </w:t>
      </w:r>
      <w:r w:rsidR="005C590C" w:rsidRPr="003F345D">
        <w:t>î</w:t>
      </w:r>
      <w:r w:rsidR="0019222D" w:rsidRPr="003F345D">
        <w:t>n vigoare a contractului.</w:t>
      </w:r>
    </w:p>
    <w:p w14:paraId="21817DEF" w14:textId="0C37B44F" w:rsidR="006E7E5F" w:rsidRPr="00981D10" w:rsidRDefault="003F345D" w:rsidP="00981D10">
      <w:pPr>
        <w:pStyle w:val="ListParagraph"/>
        <w:numPr>
          <w:ilvl w:val="0"/>
          <w:numId w:val="5"/>
        </w:numPr>
        <w:spacing w:line="276" w:lineRule="auto"/>
        <w:jc w:val="both"/>
      </w:pPr>
      <w:r>
        <w:t>f</w:t>
      </w:r>
      <w:r w:rsidR="006E7E5F" w:rsidRPr="003F345D">
        <w:t>acturarea pentru angajații A</w:t>
      </w:r>
      <w:r w:rsidR="00D95DFE">
        <w:t>dr S</w:t>
      </w:r>
      <w:r w:rsidR="00D95DFE" w:rsidRPr="003F345D">
        <w:t xml:space="preserve">ud </w:t>
      </w:r>
      <w:r w:rsidR="00D95DFE">
        <w:t>M</w:t>
      </w:r>
      <w:r w:rsidR="00D95DFE" w:rsidRPr="003F345D">
        <w:t xml:space="preserve">untenia </w:t>
      </w:r>
      <w:r w:rsidR="006E7E5F" w:rsidRPr="003F345D">
        <w:t>se va face către angajator, iar facturarea abonamentelor familiale ale angajaților se va realiza direct către aceștia, angajatorul neavând nicio implicare în acest sens.</w:t>
      </w:r>
    </w:p>
    <w:p w14:paraId="5A84EED8" w14:textId="77777777" w:rsidR="00021C74" w:rsidRDefault="00981D10" w:rsidP="00021C74">
      <w:pPr>
        <w:pStyle w:val="ListParagraph"/>
        <w:numPr>
          <w:ilvl w:val="0"/>
          <w:numId w:val="24"/>
        </w:numPr>
        <w:spacing w:line="276" w:lineRule="auto"/>
        <w:jc w:val="both"/>
      </w:pPr>
      <w:r>
        <w:t>o</w:t>
      </w:r>
      <w:r w:rsidR="006E7E5F" w:rsidRPr="003F345D">
        <w:t>peratorul economic desemnat câștigător are obligația de a asigura serviciile medicale</w:t>
      </w:r>
    </w:p>
    <w:p w14:paraId="3A57E38A" w14:textId="77AB1787" w:rsidR="001804ED" w:rsidRPr="00C5703C" w:rsidRDefault="006E7E5F" w:rsidP="00021C7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5703C">
        <w:rPr>
          <w:rFonts w:ascii="Times New Roman" w:hAnsi="Times New Roman" w:cs="Times New Roman"/>
          <w:sz w:val="24"/>
          <w:szCs w:val="24"/>
          <w:lang w:val="ro-RO"/>
        </w:rPr>
        <w:t>prezentate în ofertă,</w:t>
      </w:r>
      <w:r w:rsidR="001804ED" w:rsidRPr="00C5703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5703C">
        <w:rPr>
          <w:rFonts w:ascii="Times New Roman" w:hAnsi="Times New Roman" w:cs="Times New Roman"/>
          <w:sz w:val="24"/>
          <w:szCs w:val="24"/>
          <w:lang w:val="ro-RO"/>
        </w:rPr>
        <w:t>pentru dependenţii angajaților ADR S</w:t>
      </w:r>
      <w:r w:rsidR="00021C74" w:rsidRPr="00C5703C">
        <w:rPr>
          <w:rFonts w:ascii="Times New Roman" w:hAnsi="Times New Roman" w:cs="Times New Roman"/>
          <w:sz w:val="24"/>
          <w:szCs w:val="24"/>
          <w:lang w:val="ro-RO"/>
        </w:rPr>
        <w:t>ud</w:t>
      </w:r>
      <w:r w:rsidRPr="00C5703C">
        <w:rPr>
          <w:rFonts w:ascii="Times New Roman" w:hAnsi="Times New Roman" w:cs="Times New Roman"/>
          <w:sz w:val="24"/>
          <w:szCs w:val="24"/>
          <w:lang w:val="ro-RO"/>
        </w:rPr>
        <w:t xml:space="preserve"> M</w:t>
      </w:r>
      <w:r w:rsidR="00021C74" w:rsidRPr="00C5703C">
        <w:rPr>
          <w:rFonts w:ascii="Times New Roman" w:hAnsi="Times New Roman" w:cs="Times New Roman"/>
          <w:sz w:val="24"/>
          <w:szCs w:val="24"/>
          <w:lang w:val="ro-RO"/>
        </w:rPr>
        <w:t>untenia</w:t>
      </w:r>
      <w:r w:rsidRPr="00C5703C">
        <w:rPr>
          <w:rFonts w:ascii="Times New Roman" w:hAnsi="Times New Roman" w:cs="Times New Roman"/>
          <w:sz w:val="24"/>
          <w:szCs w:val="24"/>
          <w:lang w:val="ro-RO"/>
        </w:rPr>
        <w:t xml:space="preserve"> (soţ/soţie/, logodnic/logodnică</w:t>
      </w:r>
      <w:r w:rsidR="009D147C">
        <w:rPr>
          <w:rFonts w:ascii="Times New Roman" w:hAnsi="Times New Roman" w:cs="Times New Roman"/>
          <w:sz w:val="24"/>
          <w:szCs w:val="24"/>
          <w:lang w:val="ro-RO"/>
        </w:rPr>
        <w:t>, copii cu vârsta până la 24 de ani</w:t>
      </w:r>
      <w:r w:rsidRPr="00C5703C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974206">
        <w:rPr>
          <w:rFonts w:ascii="Times New Roman" w:hAnsi="Times New Roman" w:cs="Times New Roman"/>
          <w:sz w:val="24"/>
          <w:szCs w:val="24"/>
          <w:lang w:val="ro-RO"/>
        </w:rPr>
        <w:t xml:space="preserve"> la un tarif de maxim 230 lei /luna /dependent.</w:t>
      </w:r>
    </w:p>
    <w:p w14:paraId="36FEE252" w14:textId="77777777" w:rsidR="003874BB" w:rsidRPr="00981D10" w:rsidRDefault="003874BB" w:rsidP="00270E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BA7462" w14:textId="66013059" w:rsidR="00A35592" w:rsidRDefault="00A35592" w:rsidP="00E93C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345D">
        <w:rPr>
          <w:rFonts w:ascii="Times New Roman" w:hAnsi="Times New Roman" w:cs="Times New Roman"/>
          <w:b/>
          <w:bCs/>
          <w:sz w:val="24"/>
          <w:szCs w:val="24"/>
        </w:rPr>
        <w:t>Întocmit</w:t>
      </w:r>
      <w:proofErr w:type="spellEnd"/>
      <w:r w:rsidRPr="003F345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B1AD301" w14:textId="12B50442" w:rsidR="00BC63D9" w:rsidRPr="003F345D" w:rsidRDefault="00BC63D9" w:rsidP="00E93C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F345D">
        <w:rPr>
          <w:rFonts w:ascii="Times New Roman" w:hAnsi="Times New Roman" w:cs="Times New Roman"/>
          <w:b/>
          <w:bCs/>
          <w:sz w:val="24"/>
          <w:szCs w:val="24"/>
        </w:rPr>
        <w:t>Expert SAPAT</w:t>
      </w:r>
    </w:p>
    <w:p w14:paraId="00DFF09B" w14:textId="4D264F3B" w:rsidR="00C53E36" w:rsidRPr="003F345D" w:rsidRDefault="00C53E36" w:rsidP="00E93C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345D">
        <w:rPr>
          <w:rFonts w:ascii="Times New Roman" w:hAnsi="Times New Roman" w:cs="Times New Roman"/>
          <w:b/>
          <w:bCs/>
          <w:sz w:val="24"/>
          <w:szCs w:val="24"/>
        </w:rPr>
        <w:t>Tilică</w:t>
      </w:r>
      <w:proofErr w:type="spellEnd"/>
      <w:r w:rsidRPr="003F345D">
        <w:rPr>
          <w:rFonts w:ascii="Times New Roman" w:hAnsi="Times New Roman" w:cs="Times New Roman"/>
          <w:b/>
          <w:bCs/>
          <w:sz w:val="24"/>
          <w:szCs w:val="24"/>
        </w:rPr>
        <w:t xml:space="preserve"> Răzvan</w:t>
      </w:r>
    </w:p>
    <w:p w14:paraId="37D4A278" w14:textId="01D6C6B4" w:rsidR="00A35592" w:rsidRDefault="00545642" w:rsidP="005456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spellStart"/>
      <w:r w:rsidR="00A35592" w:rsidRPr="003F345D">
        <w:rPr>
          <w:rFonts w:ascii="Times New Roman" w:hAnsi="Times New Roman" w:cs="Times New Roman"/>
          <w:b/>
          <w:bCs/>
          <w:sz w:val="24"/>
          <w:szCs w:val="24"/>
        </w:rPr>
        <w:t>Aprobat</w:t>
      </w:r>
      <w:proofErr w:type="spellEnd"/>
      <w:r w:rsidR="00A35592" w:rsidRPr="003F345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7D567E3" w14:textId="1CB7867E" w:rsidR="00BC63D9" w:rsidRPr="00BC63D9" w:rsidRDefault="00BC63D9" w:rsidP="00BC63D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3F345D">
        <w:rPr>
          <w:rFonts w:ascii="Times New Roman" w:hAnsi="Times New Roman" w:cs="Times New Roman"/>
          <w:b/>
          <w:bCs/>
          <w:sz w:val="24"/>
          <w:szCs w:val="24"/>
          <w:lang w:val="pt-PT"/>
        </w:rPr>
        <w:t>Şef SAPAT</w:t>
      </w:r>
    </w:p>
    <w:p w14:paraId="75E6029C" w14:textId="19B90FD9" w:rsidR="00A35592" w:rsidRPr="003F345D" w:rsidRDefault="00BC63D9" w:rsidP="00E93C6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</w:t>
      </w:r>
      <w:r w:rsidRPr="003F345D">
        <w:rPr>
          <w:rFonts w:ascii="Times New Roman" w:hAnsi="Times New Roman" w:cs="Times New Roman"/>
          <w:b/>
          <w:bCs/>
          <w:sz w:val="24"/>
          <w:szCs w:val="24"/>
          <w:lang w:val="pt-PT"/>
        </w:rPr>
        <w:t>Dobrescu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A35592" w:rsidRPr="003F345D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Octavian Cristian </w:t>
      </w:r>
    </w:p>
    <w:p w14:paraId="283CBE6E" w14:textId="77777777" w:rsidR="003874BB" w:rsidRPr="003F345D" w:rsidRDefault="003874BB" w:rsidP="002A568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00F59E52" w14:textId="77777777" w:rsidR="003874BB" w:rsidRPr="003F345D" w:rsidRDefault="003874BB" w:rsidP="00E93C6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E99E924" w14:textId="77777777" w:rsidR="00BC63D9" w:rsidRPr="003F345D" w:rsidRDefault="00BC63D9" w:rsidP="00BC63D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3F345D">
        <w:rPr>
          <w:rFonts w:ascii="Times New Roman" w:hAnsi="Times New Roman" w:cs="Times New Roman"/>
          <w:b/>
          <w:bCs/>
          <w:sz w:val="24"/>
          <w:szCs w:val="24"/>
          <w:lang w:val="pt-PT"/>
        </w:rPr>
        <w:t>Secretar</w:t>
      </w:r>
    </w:p>
    <w:p w14:paraId="22DBA67F" w14:textId="20F1F0C8" w:rsidR="003874BB" w:rsidRPr="00BC63D9" w:rsidRDefault="00BC63D9" w:rsidP="00BC63D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345D">
        <w:rPr>
          <w:rFonts w:ascii="Times New Roman" w:hAnsi="Times New Roman" w:cs="Times New Roman"/>
          <w:b/>
          <w:bCs/>
          <w:sz w:val="24"/>
          <w:szCs w:val="24"/>
        </w:rPr>
        <w:t>Sindicatul</w:t>
      </w:r>
      <w:proofErr w:type="spellEnd"/>
      <w:r w:rsidRPr="003F345D">
        <w:rPr>
          <w:rFonts w:ascii="Times New Roman" w:hAnsi="Times New Roman" w:cs="Times New Roman"/>
          <w:b/>
          <w:bCs/>
          <w:sz w:val="24"/>
          <w:szCs w:val="24"/>
        </w:rPr>
        <w:t xml:space="preserve"> Sud Muntenia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57AB447" w14:textId="082536F4" w:rsidR="006638BB" w:rsidRPr="003F345D" w:rsidRDefault="006638BB" w:rsidP="003811B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3F345D">
        <w:rPr>
          <w:rFonts w:ascii="Times New Roman" w:hAnsi="Times New Roman" w:cs="Times New Roman"/>
          <w:b/>
          <w:bCs/>
          <w:sz w:val="24"/>
          <w:szCs w:val="24"/>
          <w:lang w:val="pt-PT"/>
        </w:rPr>
        <w:t>Ioana Vărăşteanu</w:t>
      </w:r>
    </w:p>
    <w:sectPr w:rsidR="006638BB" w:rsidRPr="003F345D" w:rsidSect="0055660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63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214E" w14:textId="77777777" w:rsidR="00902997" w:rsidRDefault="00902997" w:rsidP="00164114">
      <w:pPr>
        <w:spacing w:after="0" w:line="240" w:lineRule="auto"/>
      </w:pPr>
      <w:r>
        <w:separator/>
      </w:r>
    </w:p>
  </w:endnote>
  <w:endnote w:type="continuationSeparator" w:id="0">
    <w:p w14:paraId="17CD1FE2" w14:textId="77777777" w:rsidR="00902997" w:rsidRDefault="00902997" w:rsidP="0016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625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9CAF35" w14:textId="5E94206D" w:rsidR="00F825A5" w:rsidRDefault="00F825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9CDFE" w14:textId="77777777" w:rsidR="00F825A5" w:rsidRDefault="00F82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172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8801D" w14:textId="7FD84A05" w:rsidR="00F825A5" w:rsidRDefault="003E1B64" w:rsidP="002D3962">
        <w:pPr>
          <w:pStyle w:val="Footer"/>
        </w:pPr>
      </w:p>
    </w:sdtContent>
  </w:sdt>
  <w:p w14:paraId="44737FB8" w14:textId="41AE7689" w:rsidR="00F825A5" w:rsidRDefault="00F825A5" w:rsidP="002D3962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DEB77" w14:textId="77777777" w:rsidR="00902997" w:rsidRDefault="00902997" w:rsidP="00164114">
      <w:pPr>
        <w:spacing w:after="0" w:line="240" w:lineRule="auto"/>
      </w:pPr>
      <w:r>
        <w:separator/>
      </w:r>
    </w:p>
  </w:footnote>
  <w:footnote w:type="continuationSeparator" w:id="0">
    <w:p w14:paraId="6B0CCF08" w14:textId="77777777" w:rsidR="00902997" w:rsidRDefault="00902997" w:rsidP="00164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7971A" w14:textId="3415BBD6" w:rsidR="00F825A5" w:rsidRDefault="00F825A5" w:rsidP="002D3962">
    <w:pPr>
      <w:pStyle w:val="Header"/>
      <w:tabs>
        <w:tab w:val="clear" w:pos="4680"/>
        <w:tab w:val="clear" w:pos="9360"/>
        <w:tab w:val="left" w:pos="1476"/>
      </w:tabs>
    </w:pPr>
  </w:p>
  <w:p w14:paraId="5E4A2EFE" w14:textId="77777777" w:rsidR="00F825A5" w:rsidRDefault="00F82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64369" w14:textId="037E6CE2" w:rsidR="00F825A5" w:rsidRDefault="00927CE7">
    <w:pPr>
      <w:pStyle w:val="Header"/>
    </w:pPr>
    <w:r>
      <w:rPr>
        <w:noProof/>
      </w:rPr>
      <w:drawing>
        <wp:inline distT="0" distB="0" distL="0" distR="0" wp14:anchorId="2423BE4B" wp14:editId="0A4812D3">
          <wp:extent cx="5937250" cy="1187450"/>
          <wp:effectExtent l="0" t="0" r="6350" b="0"/>
          <wp:docPr id="2137210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645C"/>
    <w:multiLevelType w:val="hybridMultilevel"/>
    <w:tmpl w:val="CD5CDB8E"/>
    <w:lvl w:ilvl="0" w:tplc="59E292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44F98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8C610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61A00">
      <w:start w:val="1"/>
      <w:numFmt w:val="lowerLetter"/>
      <w:lvlRestart w:val="0"/>
      <w:lvlText w:val="%4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431E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48B70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8060C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A4040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A6932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32A0A"/>
    <w:multiLevelType w:val="hybridMultilevel"/>
    <w:tmpl w:val="DF6CDE2A"/>
    <w:lvl w:ilvl="0" w:tplc="A266A6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7108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86AF6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6CA3C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EBB12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21718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A9F7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864A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855D6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95DB4"/>
    <w:multiLevelType w:val="hybridMultilevel"/>
    <w:tmpl w:val="B2EA3474"/>
    <w:lvl w:ilvl="0" w:tplc="53AC3F6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3790"/>
    <w:multiLevelType w:val="multilevel"/>
    <w:tmpl w:val="7FB6F8D2"/>
    <w:lvl w:ilvl="0">
      <w:start w:val="1"/>
      <w:numFmt w:val="decimal"/>
      <w:lvlText w:val="%1."/>
      <w:lvlJc w:val="left"/>
      <w:pPr>
        <w:ind w:left="540" w:hanging="360"/>
      </w:pPr>
      <w:rPr>
        <w:b/>
        <w:bCs w:val="0"/>
      </w:rPr>
    </w:lvl>
    <w:lvl w:ilvl="1">
      <w:start w:val="4"/>
      <w:numFmt w:val="decimal"/>
      <w:isLgl/>
      <w:lvlText w:val="%1.%2."/>
      <w:lvlJc w:val="left"/>
      <w:pPr>
        <w:ind w:left="705" w:hanging="420"/>
      </w:pPr>
    </w:lvl>
    <w:lvl w:ilvl="2">
      <w:start w:val="1"/>
      <w:numFmt w:val="decimal"/>
      <w:isLgl/>
      <w:lvlText w:val="%1.%2.%3."/>
      <w:lvlJc w:val="left"/>
      <w:pPr>
        <w:ind w:left="1005" w:hanging="720"/>
      </w:pPr>
    </w:lvl>
    <w:lvl w:ilvl="3">
      <w:start w:val="1"/>
      <w:numFmt w:val="decimal"/>
      <w:isLgl/>
      <w:lvlText w:val="%1.%2.%3.%4."/>
      <w:lvlJc w:val="left"/>
      <w:pPr>
        <w:ind w:left="1005" w:hanging="720"/>
      </w:pPr>
    </w:lvl>
    <w:lvl w:ilvl="4">
      <w:start w:val="1"/>
      <w:numFmt w:val="decimal"/>
      <w:isLgl/>
      <w:lvlText w:val="%1.%2.%3.%4.%5."/>
      <w:lvlJc w:val="left"/>
      <w:pPr>
        <w:ind w:left="1365" w:hanging="1080"/>
      </w:pPr>
    </w:lvl>
    <w:lvl w:ilvl="5">
      <w:start w:val="1"/>
      <w:numFmt w:val="decimal"/>
      <w:isLgl/>
      <w:lvlText w:val="%1.%2.%3.%4.%5.%6."/>
      <w:lvlJc w:val="left"/>
      <w:pPr>
        <w:ind w:left="1365" w:hanging="1080"/>
      </w:pPr>
    </w:lvl>
    <w:lvl w:ilvl="6">
      <w:start w:val="1"/>
      <w:numFmt w:val="decimal"/>
      <w:isLgl/>
      <w:lvlText w:val="%1.%2.%3.%4.%5.%6.%7."/>
      <w:lvlJc w:val="left"/>
      <w:pPr>
        <w:ind w:left="1725" w:hanging="1440"/>
      </w:p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</w:lvl>
  </w:abstractNum>
  <w:abstractNum w:abstractNumId="4" w15:restartNumberingAfterBreak="0">
    <w:nsid w:val="1334659C"/>
    <w:multiLevelType w:val="hybridMultilevel"/>
    <w:tmpl w:val="A0241A14"/>
    <w:lvl w:ilvl="0" w:tplc="81342F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B3BA2"/>
    <w:multiLevelType w:val="hybridMultilevel"/>
    <w:tmpl w:val="DE0066BE"/>
    <w:lvl w:ilvl="0" w:tplc="0F9AF6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C8860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4768A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C495E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06752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CF616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8CB8E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4D96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C25EA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626ACE"/>
    <w:multiLevelType w:val="hybridMultilevel"/>
    <w:tmpl w:val="46580F72"/>
    <w:lvl w:ilvl="0" w:tplc="C3B8E7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CF1AA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001BE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86444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8125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08C18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8BE30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0025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02A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581871"/>
    <w:multiLevelType w:val="hybridMultilevel"/>
    <w:tmpl w:val="5FBC3B6E"/>
    <w:lvl w:ilvl="0" w:tplc="DBFE1FD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D7CD7"/>
    <w:multiLevelType w:val="hybridMultilevel"/>
    <w:tmpl w:val="0D363FB4"/>
    <w:lvl w:ilvl="0" w:tplc="81342F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97DC4"/>
    <w:multiLevelType w:val="hybridMultilevel"/>
    <w:tmpl w:val="32F8C98A"/>
    <w:lvl w:ilvl="0" w:tplc="3B50C0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E3CE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83058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C2CB0">
      <w:start w:val="1"/>
      <w:numFmt w:val="lowerLetter"/>
      <w:lvlRestart w:val="0"/>
      <w:lvlText w:val="%4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4E57A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A6436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6EED4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8D92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28420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104303"/>
    <w:multiLevelType w:val="hybridMultilevel"/>
    <w:tmpl w:val="05FE1DAA"/>
    <w:lvl w:ilvl="0" w:tplc="5A8C20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690A">
      <w:start w:val="1"/>
      <w:numFmt w:val="lowerLetter"/>
      <w:lvlRestart w:val="0"/>
      <w:lvlText w:val="%2)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8AD9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004DE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ADAC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0201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60AAA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A374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4A7B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E13445"/>
    <w:multiLevelType w:val="hybridMultilevel"/>
    <w:tmpl w:val="CDA81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7B4C36"/>
    <w:multiLevelType w:val="hybridMultilevel"/>
    <w:tmpl w:val="F59CFD46"/>
    <w:lvl w:ilvl="0" w:tplc="81342F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056D7"/>
    <w:multiLevelType w:val="hybridMultilevel"/>
    <w:tmpl w:val="7BD40A96"/>
    <w:lvl w:ilvl="0" w:tplc="780E4B4C">
      <w:start w:val="1"/>
      <w:numFmt w:val="lowerLetter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E9586">
      <w:start w:val="1"/>
      <w:numFmt w:val="lowerLetter"/>
      <w:lvlText w:val="%2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A9592">
      <w:start w:val="1"/>
      <w:numFmt w:val="lowerRoman"/>
      <w:lvlText w:val="%3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6F336">
      <w:start w:val="1"/>
      <w:numFmt w:val="decimal"/>
      <w:lvlText w:val="%4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7AB8">
      <w:start w:val="1"/>
      <w:numFmt w:val="lowerLetter"/>
      <w:lvlText w:val="%5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A0124">
      <w:start w:val="1"/>
      <w:numFmt w:val="lowerRoman"/>
      <w:lvlText w:val="%6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22C4C">
      <w:start w:val="1"/>
      <w:numFmt w:val="decimal"/>
      <w:lvlText w:val="%7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C1AA">
      <w:start w:val="1"/>
      <w:numFmt w:val="lowerLetter"/>
      <w:lvlText w:val="%8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807EE">
      <w:start w:val="1"/>
      <w:numFmt w:val="lowerRoman"/>
      <w:lvlText w:val="%9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3B5320"/>
    <w:multiLevelType w:val="multilevel"/>
    <w:tmpl w:val="26FCD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15" w15:restartNumberingAfterBreak="0">
    <w:nsid w:val="5EC0247E"/>
    <w:multiLevelType w:val="multilevel"/>
    <w:tmpl w:val="A5B45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062C2D"/>
    <w:multiLevelType w:val="hybridMultilevel"/>
    <w:tmpl w:val="D800398E"/>
    <w:lvl w:ilvl="0" w:tplc="102A930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664CE"/>
    <w:multiLevelType w:val="multilevel"/>
    <w:tmpl w:val="F232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095B75"/>
    <w:multiLevelType w:val="hybridMultilevel"/>
    <w:tmpl w:val="B13E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F4906"/>
    <w:multiLevelType w:val="multilevel"/>
    <w:tmpl w:val="2D8CA170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0" w15:restartNumberingAfterBreak="0">
    <w:nsid w:val="66B87F8F"/>
    <w:multiLevelType w:val="multilevel"/>
    <w:tmpl w:val="C26E7A46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1" w15:restartNumberingAfterBreak="0">
    <w:nsid w:val="67160022"/>
    <w:multiLevelType w:val="hybridMultilevel"/>
    <w:tmpl w:val="CA2A33BA"/>
    <w:lvl w:ilvl="0" w:tplc="88280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4523D"/>
    <w:multiLevelType w:val="hybridMultilevel"/>
    <w:tmpl w:val="8398EA2E"/>
    <w:lvl w:ilvl="0" w:tplc="38CC75E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F0A53"/>
    <w:multiLevelType w:val="hybridMultilevel"/>
    <w:tmpl w:val="97A6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D0749"/>
    <w:multiLevelType w:val="hybridMultilevel"/>
    <w:tmpl w:val="51CC5966"/>
    <w:lvl w:ilvl="0" w:tplc="2E947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5C9A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67A6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0FC6C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A90EA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6A602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A3450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661BC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861C4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2C1D60"/>
    <w:multiLevelType w:val="hybridMultilevel"/>
    <w:tmpl w:val="68A86C5C"/>
    <w:lvl w:ilvl="0" w:tplc="80B6638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8B18E">
      <w:start w:val="1"/>
      <w:numFmt w:val="bullet"/>
      <w:lvlText w:val="o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E49A0">
      <w:start w:val="1"/>
      <w:numFmt w:val="bullet"/>
      <w:lvlText w:val="▪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4F3CA">
      <w:start w:val="1"/>
      <w:numFmt w:val="bullet"/>
      <w:lvlText w:val="•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E10E8">
      <w:start w:val="1"/>
      <w:numFmt w:val="bullet"/>
      <w:lvlText w:val="o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CF008">
      <w:start w:val="1"/>
      <w:numFmt w:val="bullet"/>
      <w:lvlText w:val="▪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06D00">
      <w:start w:val="1"/>
      <w:numFmt w:val="bullet"/>
      <w:lvlText w:val="•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E81CE">
      <w:start w:val="1"/>
      <w:numFmt w:val="bullet"/>
      <w:lvlText w:val="o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E5F90">
      <w:start w:val="1"/>
      <w:numFmt w:val="bullet"/>
      <w:lvlText w:val="▪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930575"/>
    <w:multiLevelType w:val="hybridMultilevel"/>
    <w:tmpl w:val="02720E88"/>
    <w:lvl w:ilvl="0" w:tplc="B66499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02C46"/>
    <w:multiLevelType w:val="hybridMultilevel"/>
    <w:tmpl w:val="4A80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74257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398085">
    <w:abstractNumId w:val="23"/>
  </w:num>
  <w:num w:numId="3" w16cid:durableId="500971950">
    <w:abstractNumId w:val="27"/>
  </w:num>
  <w:num w:numId="4" w16cid:durableId="955865749">
    <w:abstractNumId w:val="21"/>
  </w:num>
  <w:num w:numId="5" w16cid:durableId="545721128">
    <w:abstractNumId w:val="25"/>
  </w:num>
  <w:num w:numId="6" w16cid:durableId="644314607">
    <w:abstractNumId w:val="13"/>
  </w:num>
  <w:num w:numId="7" w16cid:durableId="1581333375">
    <w:abstractNumId w:val="10"/>
  </w:num>
  <w:num w:numId="8" w16cid:durableId="184443592">
    <w:abstractNumId w:val="5"/>
  </w:num>
  <w:num w:numId="9" w16cid:durableId="456798712">
    <w:abstractNumId w:val="24"/>
  </w:num>
  <w:num w:numId="10" w16cid:durableId="133766125">
    <w:abstractNumId w:val="0"/>
  </w:num>
  <w:num w:numId="11" w16cid:durableId="370960899">
    <w:abstractNumId w:val="1"/>
  </w:num>
  <w:num w:numId="12" w16cid:durableId="1988629619">
    <w:abstractNumId w:val="6"/>
  </w:num>
  <w:num w:numId="13" w16cid:durableId="1772315520">
    <w:abstractNumId w:val="9"/>
  </w:num>
  <w:num w:numId="14" w16cid:durableId="80681358">
    <w:abstractNumId w:val="16"/>
  </w:num>
  <w:num w:numId="15" w16cid:durableId="202910750">
    <w:abstractNumId w:val="20"/>
  </w:num>
  <w:num w:numId="16" w16cid:durableId="372656939">
    <w:abstractNumId w:val="19"/>
  </w:num>
  <w:num w:numId="17" w16cid:durableId="975375521">
    <w:abstractNumId w:val="8"/>
  </w:num>
  <w:num w:numId="18" w16cid:durableId="1487820386">
    <w:abstractNumId w:val="18"/>
  </w:num>
  <w:num w:numId="19" w16cid:durableId="1256593963">
    <w:abstractNumId w:val="4"/>
  </w:num>
  <w:num w:numId="20" w16cid:durableId="751854161">
    <w:abstractNumId w:val="26"/>
  </w:num>
  <w:num w:numId="21" w16cid:durableId="975648636">
    <w:abstractNumId w:val="12"/>
  </w:num>
  <w:num w:numId="22" w16cid:durableId="315652580">
    <w:abstractNumId w:val="7"/>
  </w:num>
  <w:num w:numId="23" w16cid:durableId="2129005539">
    <w:abstractNumId w:val="2"/>
  </w:num>
  <w:num w:numId="24" w16cid:durableId="1258098819">
    <w:abstractNumId w:val="22"/>
  </w:num>
  <w:num w:numId="25" w16cid:durableId="816803571">
    <w:abstractNumId w:val="14"/>
  </w:num>
  <w:num w:numId="26" w16cid:durableId="263071913">
    <w:abstractNumId w:val="3"/>
  </w:num>
  <w:num w:numId="27" w16cid:durableId="1419474688">
    <w:abstractNumId w:val="15"/>
  </w:num>
  <w:num w:numId="28" w16cid:durableId="1004236618">
    <w:abstractNumId w:val="17"/>
  </w:num>
  <w:num w:numId="29" w16cid:durableId="2115662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1A"/>
    <w:rsid w:val="0001083D"/>
    <w:rsid w:val="00021C74"/>
    <w:rsid w:val="0003486F"/>
    <w:rsid w:val="00040CF1"/>
    <w:rsid w:val="00042B93"/>
    <w:rsid w:val="00045224"/>
    <w:rsid w:val="00052D9D"/>
    <w:rsid w:val="00053B1C"/>
    <w:rsid w:val="00055F51"/>
    <w:rsid w:val="00057787"/>
    <w:rsid w:val="0006729F"/>
    <w:rsid w:val="00067FE2"/>
    <w:rsid w:val="000713D8"/>
    <w:rsid w:val="000B1D61"/>
    <w:rsid w:val="000B2404"/>
    <w:rsid w:val="000D29B2"/>
    <w:rsid w:val="000E6D51"/>
    <w:rsid w:val="000F65DE"/>
    <w:rsid w:val="00101C10"/>
    <w:rsid w:val="001106F6"/>
    <w:rsid w:val="00117834"/>
    <w:rsid w:val="00124B04"/>
    <w:rsid w:val="001266E8"/>
    <w:rsid w:val="00132D8E"/>
    <w:rsid w:val="00134C84"/>
    <w:rsid w:val="0013611A"/>
    <w:rsid w:val="00136269"/>
    <w:rsid w:val="0015645D"/>
    <w:rsid w:val="00160276"/>
    <w:rsid w:val="00164114"/>
    <w:rsid w:val="00166192"/>
    <w:rsid w:val="001804ED"/>
    <w:rsid w:val="0019222D"/>
    <w:rsid w:val="001953C6"/>
    <w:rsid w:val="001974B9"/>
    <w:rsid w:val="001A4A58"/>
    <w:rsid w:val="001B433D"/>
    <w:rsid w:val="001B50D5"/>
    <w:rsid w:val="001D0072"/>
    <w:rsid w:val="001E36C9"/>
    <w:rsid w:val="001E4F4B"/>
    <w:rsid w:val="001F2082"/>
    <w:rsid w:val="001F6737"/>
    <w:rsid w:val="00212682"/>
    <w:rsid w:val="00224DA5"/>
    <w:rsid w:val="00226883"/>
    <w:rsid w:val="002317CA"/>
    <w:rsid w:val="002453CB"/>
    <w:rsid w:val="00255221"/>
    <w:rsid w:val="002561D2"/>
    <w:rsid w:val="00270EA2"/>
    <w:rsid w:val="00271A3E"/>
    <w:rsid w:val="00274206"/>
    <w:rsid w:val="0029009E"/>
    <w:rsid w:val="00290C69"/>
    <w:rsid w:val="00296723"/>
    <w:rsid w:val="002A568F"/>
    <w:rsid w:val="002B723F"/>
    <w:rsid w:val="002C4F74"/>
    <w:rsid w:val="002D3962"/>
    <w:rsid w:val="002F33FB"/>
    <w:rsid w:val="00303E8F"/>
    <w:rsid w:val="003147D3"/>
    <w:rsid w:val="00340B0A"/>
    <w:rsid w:val="003457EC"/>
    <w:rsid w:val="0035341C"/>
    <w:rsid w:val="00366211"/>
    <w:rsid w:val="00366988"/>
    <w:rsid w:val="003811B8"/>
    <w:rsid w:val="003874BB"/>
    <w:rsid w:val="0039476F"/>
    <w:rsid w:val="003B4BEC"/>
    <w:rsid w:val="003D01B3"/>
    <w:rsid w:val="003D150C"/>
    <w:rsid w:val="003D2AAC"/>
    <w:rsid w:val="003D60D4"/>
    <w:rsid w:val="003E1B64"/>
    <w:rsid w:val="003F0141"/>
    <w:rsid w:val="003F07B8"/>
    <w:rsid w:val="003F345D"/>
    <w:rsid w:val="00403012"/>
    <w:rsid w:val="00403830"/>
    <w:rsid w:val="004210D6"/>
    <w:rsid w:val="004249D3"/>
    <w:rsid w:val="00460BF7"/>
    <w:rsid w:val="00467742"/>
    <w:rsid w:val="00481FBD"/>
    <w:rsid w:val="00482129"/>
    <w:rsid w:val="004834E8"/>
    <w:rsid w:val="00491451"/>
    <w:rsid w:val="0049728C"/>
    <w:rsid w:val="004A54C1"/>
    <w:rsid w:val="004A5ED4"/>
    <w:rsid w:val="004D0037"/>
    <w:rsid w:val="004D3844"/>
    <w:rsid w:val="004D795F"/>
    <w:rsid w:val="00500819"/>
    <w:rsid w:val="00504426"/>
    <w:rsid w:val="005144E4"/>
    <w:rsid w:val="005152A4"/>
    <w:rsid w:val="005224F7"/>
    <w:rsid w:val="005241A0"/>
    <w:rsid w:val="00530D27"/>
    <w:rsid w:val="00537615"/>
    <w:rsid w:val="00544139"/>
    <w:rsid w:val="00545642"/>
    <w:rsid w:val="005459B8"/>
    <w:rsid w:val="00546E52"/>
    <w:rsid w:val="00550944"/>
    <w:rsid w:val="0055469B"/>
    <w:rsid w:val="0055660A"/>
    <w:rsid w:val="0056236E"/>
    <w:rsid w:val="00563F2C"/>
    <w:rsid w:val="005649EB"/>
    <w:rsid w:val="00564C67"/>
    <w:rsid w:val="005728FC"/>
    <w:rsid w:val="005776B0"/>
    <w:rsid w:val="00592D0C"/>
    <w:rsid w:val="00594212"/>
    <w:rsid w:val="005A6A79"/>
    <w:rsid w:val="005A7DFE"/>
    <w:rsid w:val="005B2EF9"/>
    <w:rsid w:val="005C52A0"/>
    <w:rsid w:val="005C590C"/>
    <w:rsid w:val="005C7514"/>
    <w:rsid w:val="005D59C6"/>
    <w:rsid w:val="005E3F83"/>
    <w:rsid w:val="005F30FD"/>
    <w:rsid w:val="006112FF"/>
    <w:rsid w:val="00612716"/>
    <w:rsid w:val="00622353"/>
    <w:rsid w:val="00624200"/>
    <w:rsid w:val="00627E0B"/>
    <w:rsid w:val="00640A82"/>
    <w:rsid w:val="00641AAF"/>
    <w:rsid w:val="0064619D"/>
    <w:rsid w:val="006518DB"/>
    <w:rsid w:val="006638BB"/>
    <w:rsid w:val="00667B47"/>
    <w:rsid w:val="00670367"/>
    <w:rsid w:val="006740D5"/>
    <w:rsid w:val="00674C36"/>
    <w:rsid w:val="00680EE4"/>
    <w:rsid w:val="006825A8"/>
    <w:rsid w:val="0068512D"/>
    <w:rsid w:val="006908F4"/>
    <w:rsid w:val="00691307"/>
    <w:rsid w:val="006A5B3B"/>
    <w:rsid w:val="006B13F7"/>
    <w:rsid w:val="006B2470"/>
    <w:rsid w:val="006B469C"/>
    <w:rsid w:val="006C3FB0"/>
    <w:rsid w:val="006D7F6D"/>
    <w:rsid w:val="006E62BF"/>
    <w:rsid w:val="006E7E5F"/>
    <w:rsid w:val="006F0393"/>
    <w:rsid w:val="00700481"/>
    <w:rsid w:val="007121A6"/>
    <w:rsid w:val="00740E86"/>
    <w:rsid w:val="00740FAD"/>
    <w:rsid w:val="00741C05"/>
    <w:rsid w:val="00756587"/>
    <w:rsid w:val="00756846"/>
    <w:rsid w:val="00761BE3"/>
    <w:rsid w:val="00785310"/>
    <w:rsid w:val="007966AE"/>
    <w:rsid w:val="007A1455"/>
    <w:rsid w:val="007A3E94"/>
    <w:rsid w:val="007A6572"/>
    <w:rsid w:val="007A6A04"/>
    <w:rsid w:val="007B622E"/>
    <w:rsid w:val="007C170A"/>
    <w:rsid w:val="007C33D8"/>
    <w:rsid w:val="007D2FA1"/>
    <w:rsid w:val="007D4722"/>
    <w:rsid w:val="007D62BA"/>
    <w:rsid w:val="007F0524"/>
    <w:rsid w:val="008009FE"/>
    <w:rsid w:val="00813C57"/>
    <w:rsid w:val="00827B2C"/>
    <w:rsid w:val="00832ED8"/>
    <w:rsid w:val="00847AF5"/>
    <w:rsid w:val="00851C60"/>
    <w:rsid w:val="00852ED0"/>
    <w:rsid w:val="00855A2D"/>
    <w:rsid w:val="00860AAA"/>
    <w:rsid w:val="00864C27"/>
    <w:rsid w:val="00883D3A"/>
    <w:rsid w:val="0089510C"/>
    <w:rsid w:val="008A1ECE"/>
    <w:rsid w:val="008B5EF2"/>
    <w:rsid w:val="008C2878"/>
    <w:rsid w:val="008C34BA"/>
    <w:rsid w:val="008C3F8A"/>
    <w:rsid w:val="008D4774"/>
    <w:rsid w:val="008D4E20"/>
    <w:rsid w:val="008E436E"/>
    <w:rsid w:val="008F77C5"/>
    <w:rsid w:val="00901EAE"/>
    <w:rsid w:val="00902997"/>
    <w:rsid w:val="00927CE7"/>
    <w:rsid w:val="009319D8"/>
    <w:rsid w:val="0093675E"/>
    <w:rsid w:val="00936CEB"/>
    <w:rsid w:val="00940FC7"/>
    <w:rsid w:val="0094138D"/>
    <w:rsid w:val="0094188F"/>
    <w:rsid w:val="009418FE"/>
    <w:rsid w:val="00950A93"/>
    <w:rsid w:val="00951447"/>
    <w:rsid w:val="00956D78"/>
    <w:rsid w:val="0096516E"/>
    <w:rsid w:val="00973946"/>
    <w:rsid w:val="00974206"/>
    <w:rsid w:val="00981D10"/>
    <w:rsid w:val="009963C7"/>
    <w:rsid w:val="009A6164"/>
    <w:rsid w:val="009B275D"/>
    <w:rsid w:val="009D147C"/>
    <w:rsid w:val="009D17E2"/>
    <w:rsid w:val="009D4B4C"/>
    <w:rsid w:val="009E0DDC"/>
    <w:rsid w:val="009E21A8"/>
    <w:rsid w:val="009E3257"/>
    <w:rsid w:val="009F02DB"/>
    <w:rsid w:val="00A01A41"/>
    <w:rsid w:val="00A03992"/>
    <w:rsid w:val="00A042E8"/>
    <w:rsid w:val="00A0521D"/>
    <w:rsid w:val="00A101DF"/>
    <w:rsid w:val="00A16E83"/>
    <w:rsid w:val="00A1776E"/>
    <w:rsid w:val="00A30C65"/>
    <w:rsid w:val="00A347E4"/>
    <w:rsid w:val="00A35592"/>
    <w:rsid w:val="00A36384"/>
    <w:rsid w:val="00A3698C"/>
    <w:rsid w:val="00A40F71"/>
    <w:rsid w:val="00A4143C"/>
    <w:rsid w:val="00A55C1A"/>
    <w:rsid w:val="00A751E1"/>
    <w:rsid w:val="00A8038F"/>
    <w:rsid w:val="00A8279B"/>
    <w:rsid w:val="00A95E34"/>
    <w:rsid w:val="00AB5729"/>
    <w:rsid w:val="00AC280A"/>
    <w:rsid w:val="00AC6CA9"/>
    <w:rsid w:val="00AD6585"/>
    <w:rsid w:val="00AF167B"/>
    <w:rsid w:val="00AF3B59"/>
    <w:rsid w:val="00B0570A"/>
    <w:rsid w:val="00B0669C"/>
    <w:rsid w:val="00B1710F"/>
    <w:rsid w:val="00B2375E"/>
    <w:rsid w:val="00B25F0D"/>
    <w:rsid w:val="00B347F2"/>
    <w:rsid w:val="00B36A6A"/>
    <w:rsid w:val="00B47AD0"/>
    <w:rsid w:val="00B63081"/>
    <w:rsid w:val="00B77D87"/>
    <w:rsid w:val="00B83F9B"/>
    <w:rsid w:val="00B93A46"/>
    <w:rsid w:val="00BA1552"/>
    <w:rsid w:val="00BA55B6"/>
    <w:rsid w:val="00BB1CC2"/>
    <w:rsid w:val="00BC1A84"/>
    <w:rsid w:val="00BC63D9"/>
    <w:rsid w:val="00BC6B03"/>
    <w:rsid w:val="00BD353D"/>
    <w:rsid w:val="00BD56FA"/>
    <w:rsid w:val="00BE1154"/>
    <w:rsid w:val="00BF0E3A"/>
    <w:rsid w:val="00C03354"/>
    <w:rsid w:val="00C07E5A"/>
    <w:rsid w:val="00C21EFB"/>
    <w:rsid w:val="00C33BCC"/>
    <w:rsid w:val="00C35052"/>
    <w:rsid w:val="00C47BB8"/>
    <w:rsid w:val="00C53E36"/>
    <w:rsid w:val="00C5703C"/>
    <w:rsid w:val="00C60852"/>
    <w:rsid w:val="00C63081"/>
    <w:rsid w:val="00C63409"/>
    <w:rsid w:val="00C700FA"/>
    <w:rsid w:val="00C80FC0"/>
    <w:rsid w:val="00C96D9E"/>
    <w:rsid w:val="00CB397D"/>
    <w:rsid w:val="00CB751D"/>
    <w:rsid w:val="00CE0439"/>
    <w:rsid w:val="00CE29AB"/>
    <w:rsid w:val="00CE3A1B"/>
    <w:rsid w:val="00CE63BC"/>
    <w:rsid w:val="00CF4CF9"/>
    <w:rsid w:val="00CF7E3A"/>
    <w:rsid w:val="00D02748"/>
    <w:rsid w:val="00D109B2"/>
    <w:rsid w:val="00D13AE1"/>
    <w:rsid w:val="00D16244"/>
    <w:rsid w:val="00D2097E"/>
    <w:rsid w:val="00D31E09"/>
    <w:rsid w:val="00D31FEA"/>
    <w:rsid w:val="00D33113"/>
    <w:rsid w:val="00D401E2"/>
    <w:rsid w:val="00D5147E"/>
    <w:rsid w:val="00D66308"/>
    <w:rsid w:val="00D67690"/>
    <w:rsid w:val="00D72CBB"/>
    <w:rsid w:val="00D72F8C"/>
    <w:rsid w:val="00D77FFA"/>
    <w:rsid w:val="00D8461C"/>
    <w:rsid w:val="00D91EB7"/>
    <w:rsid w:val="00D94851"/>
    <w:rsid w:val="00D95DFE"/>
    <w:rsid w:val="00DA3142"/>
    <w:rsid w:val="00DA623B"/>
    <w:rsid w:val="00DB3E97"/>
    <w:rsid w:val="00DB5C65"/>
    <w:rsid w:val="00E003D7"/>
    <w:rsid w:val="00E046C7"/>
    <w:rsid w:val="00E12E8D"/>
    <w:rsid w:val="00E1477F"/>
    <w:rsid w:val="00E1760D"/>
    <w:rsid w:val="00E2129F"/>
    <w:rsid w:val="00E32255"/>
    <w:rsid w:val="00E343F8"/>
    <w:rsid w:val="00E41230"/>
    <w:rsid w:val="00E44ABF"/>
    <w:rsid w:val="00E54573"/>
    <w:rsid w:val="00E55428"/>
    <w:rsid w:val="00E64F9A"/>
    <w:rsid w:val="00E7732F"/>
    <w:rsid w:val="00E80FE2"/>
    <w:rsid w:val="00E8786E"/>
    <w:rsid w:val="00E93C67"/>
    <w:rsid w:val="00E9795C"/>
    <w:rsid w:val="00EA102D"/>
    <w:rsid w:val="00EA64A1"/>
    <w:rsid w:val="00EA6EBF"/>
    <w:rsid w:val="00EB32BE"/>
    <w:rsid w:val="00EC465B"/>
    <w:rsid w:val="00ED35BE"/>
    <w:rsid w:val="00F05C31"/>
    <w:rsid w:val="00F1722E"/>
    <w:rsid w:val="00F226FC"/>
    <w:rsid w:val="00F2337E"/>
    <w:rsid w:val="00F23762"/>
    <w:rsid w:val="00F5192B"/>
    <w:rsid w:val="00F70A38"/>
    <w:rsid w:val="00F76145"/>
    <w:rsid w:val="00F81977"/>
    <w:rsid w:val="00F825A5"/>
    <w:rsid w:val="00F97CDE"/>
    <w:rsid w:val="00FA07E6"/>
    <w:rsid w:val="00FA55FA"/>
    <w:rsid w:val="00FB3E70"/>
    <w:rsid w:val="00FB6E9A"/>
    <w:rsid w:val="00FD127D"/>
    <w:rsid w:val="00FD66DF"/>
    <w:rsid w:val="00FD75B9"/>
    <w:rsid w:val="00FE3334"/>
    <w:rsid w:val="00FE497A"/>
    <w:rsid w:val="00FE6E61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3FB38"/>
  <w15:chartTrackingRefBased/>
  <w15:docId w15:val="{002C0FF3-974D-4B4D-9AD5-565E5B89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FF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7FFA"/>
    <w:rPr>
      <w:color w:val="954F72"/>
      <w:u w:val="single"/>
    </w:rPr>
  </w:style>
  <w:style w:type="paragraph" w:customStyle="1" w:styleId="msonormal0">
    <w:name w:val="msonormal"/>
    <w:basedOn w:val="Normal"/>
    <w:rsid w:val="00D7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"/>
    <w:rsid w:val="00D77FF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5">
    <w:name w:val="font5"/>
    <w:basedOn w:val="Normal"/>
    <w:rsid w:val="00D77FF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D77FF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7">
    <w:name w:val="font7"/>
    <w:basedOn w:val="Normal"/>
    <w:rsid w:val="00D77FF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8">
    <w:name w:val="font8"/>
    <w:basedOn w:val="Normal"/>
    <w:rsid w:val="00D77FFA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font9">
    <w:name w:val="font9"/>
    <w:basedOn w:val="Normal"/>
    <w:rsid w:val="00D77FFA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5">
    <w:name w:val="xl65"/>
    <w:basedOn w:val="Normal"/>
    <w:rsid w:val="00D77F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2D050"/>
      <w:sz w:val="20"/>
      <w:szCs w:val="20"/>
    </w:rPr>
  </w:style>
  <w:style w:type="paragraph" w:customStyle="1" w:styleId="xl73">
    <w:name w:val="xl73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B050"/>
      <w:sz w:val="20"/>
      <w:szCs w:val="20"/>
    </w:rPr>
  </w:style>
  <w:style w:type="paragraph" w:customStyle="1" w:styleId="xl74">
    <w:name w:val="xl74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D7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77F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D77F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D77F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92D050"/>
      <w:sz w:val="24"/>
      <w:szCs w:val="24"/>
    </w:rPr>
  </w:style>
  <w:style w:type="paragraph" w:customStyle="1" w:styleId="xl95">
    <w:name w:val="xl95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"/>
    <w:rsid w:val="00D77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4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114"/>
  </w:style>
  <w:style w:type="paragraph" w:styleId="Footer">
    <w:name w:val="footer"/>
    <w:basedOn w:val="Normal"/>
    <w:link w:val="FooterChar"/>
    <w:uiPriority w:val="99"/>
    <w:unhideWhenUsed/>
    <w:rsid w:val="00164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114"/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864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864C2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laceholderText">
    <w:name w:val="Placeholder Text"/>
    <w:basedOn w:val="DefaultParagraphFont"/>
    <w:uiPriority w:val="99"/>
    <w:semiHidden/>
    <w:rsid w:val="008B5EF2"/>
    <w:rPr>
      <w:color w:val="808080"/>
    </w:rPr>
  </w:style>
  <w:style w:type="table" w:styleId="TableGrid">
    <w:name w:val="Table Grid"/>
    <w:basedOn w:val="TableNormal"/>
    <w:uiPriority w:val="39"/>
    <w:rsid w:val="007D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0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80BD-C141-48A2-B130-4D4E7362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Tilica</dc:creator>
  <cp:keywords/>
  <dc:description/>
  <cp:lastModifiedBy>Razvan Tilica</cp:lastModifiedBy>
  <cp:revision>25</cp:revision>
  <cp:lastPrinted>2024-12-09T12:30:00Z</cp:lastPrinted>
  <dcterms:created xsi:type="dcterms:W3CDTF">2024-11-06T15:12:00Z</dcterms:created>
  <dcterms:modified xsi:type="dcterms:W3CDTF">2024-12-09T12:30:00Z</dcterms:modified>
</cp:coreProperties>
</file>